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AC" w:rsidRPr="003A6449" w:rsidRDefault="001427AC" w:rsidP="00002158">
      <w:pPr>
        <w:pStyle w:val="Web"/>
        <w:tabs>
          <w:tab w:val="left" w:pos="8520"/>
        </w:tabs>
        <w:snapToGrid w:val="0"/>
        <w:spacing w:before="0" w:beforeAutospacing="0" w:after="0" w:afterAutospacing="0" w:line="500" w:lineRule="exact"/>
        <w:ind w:firstLine="482"/>
        <w:jc w:val="both"/>
        <w:rPr>
          <w:rStyle w:val="1"/>
          <w:rFonts w:ascii="標楷體" w:eastAsia="標楷體" w:hAnsi="標楷體" w:cs="Times New Roman"/>
          <w:b/>
          <w:snapToGrid w:val="0"/>
          <w:color w:val="auto"/>
        </w:rPr>
      </w:pPr>
      <w:r w:rsidRPr="003A6449">
        <w:rPr>
          <w:rStyle w:val="1"/>
          <w:rFonts w:ascii="標楷體" w:eastAsia="標楷體" w:hAnsi="標楷體" w:cs="Times New Roman" w:hint="eastAsia"/>
          <w:b/>
          <w:snapToGrid w:val="0"/>
          <w:color w:val="auto"/>
        </w:rPr>
        <w:t>糖尿病的飲食控制</w:t>
      </w:r>
      <w:r w:rsidR="003A6449">
        <w:rPr>
          <w:rStyle w:val="1"/>
          <w:rFonts w:ascii="標楷體" w:eastAsia="標楷體" w:hAnsi="標楷體" w:cs="Times New Roman" w:hint="eastAsia"/>
          <w:b/>
          <w:snapToGrid w:val="0"/>
          <w:color w:val="auto"/>
        </w:rPr>
        <w:t xml:space="preserve">                                       林京美 營養師</w:t>
      </w:r>
    </w:p>
    <w:p w:rsidR="001427AC" w:rsidRPr="003A6449" w:rsidRDefault="001427AC" w:rsidP="00002158">
      <w:pPr>
        <w:pStyle w:val="Web"/>
        <w:tabs>
          <w:tab w:val="left" w:pos="8520"/>
        </w:tabs>
        <w:snapToGrid w:val="0"/>
        <w:spacing w:before="0" w:beforeAutospacing="0" w:after="0" w:afterAutospacing="0" w:line="500" w:lineRule="exact"/>
        <w:ind w:firstLine="482"/>
        <w:jc w:val="both"/>
        <w:rPr>
          <w:rFonts w:ascii="標楷體" w:eastAsia="標楷體" w:hAnsi="標楷體" w:cs="Times New Roman"/>
          <w:snapToGrid w:val="0"/>
          <w:sz w:val="20"/>
          <w:szCs w:val="20"/>
        </w:rPr>
      </w:pPr>
      <w:bookmarkStart w:id="0" w:name="_GoBack"/>
      <w:r w:rsidRPr="003A6449">
        <w:rPr>
          <w:rStyle w:val="1"/>
          <w:rFonts w:ascii="標楷體" w:eastAsia="標楷體" w:hAnsi="標楷體" w:cs="Times New Roman"/>
          <w:snapToGrid w:val="0"/>
          <w:color w:val="auto"/>
          <w:sz w:val="20"/>
          <w:szCs w:val="20"/>
        </w:rPr>
        <w:t>重度海洋性貧血患者發生</w:t>
      </w:r>
      <w:r w:rsidRPr="003A6449">
        <w:rPr>
          <w:rFonts w:ascii="標楷體" w:eastAsia="標楷體" w:hAnsi="標楷體" w:cs="Times New Roman"/>
          <w:snapToGrid w:val="0"/>
          <w:sz w:val="20"/>
          <w:szCs w:val="20"/>
        </w:rPr>
        <w:t>葡萄糖不耐症(</w:t>
      </w:r>
      <w:r w:rsidRPr="003A6449">
        <w:rPr>
          <w:rStyle w:val="aa"/>
          <w:rFonts w:ascii="標楷體" w:eastAsia="標楷體" w:hAnsi="標楷體" w:cs="Times New Roman"/>
          <w:i w:val="0"/>
          <w:snapToGrid w:val="0"/>
          <w:sz w:val="20"/>
          <w:szCs w:val="20"/>
        </w:rPr>
        <w:t>impaired glucose tolerance; pre-diabetes)</w:t>
      </w:r>
      <w:r w:rsidRPr="003A6449">
        <w:rPr>
          <w:rStyle w:val="1"/>
          <w:rFonts w:ascii="標楷體" w:eastAsia="標楷體" w:hAnsi="標楷體" w:cs="Times New Roman"/>
          <w:snapToGrid w:val="0"/>
          <w:color w:val="auto"/>
          <w:sz w:val="20"/>
          <w:szCs w:val="20"/>
        </w:rPr>
        <w:t>的機轉，目前仍不清楚。</w:t>
      </w:r>
      <w:r w:rsidRPr="003A6449">
        <w:rPr>
          <w:rFonts w:ascii="標楷體" w:eastAsia="標楷體" w:hAnsi="標楷體" w:cs="Times New Roman"/>
          <w:snapToGrid w:val="0"/>
          <w:sz w:val="20"/>
          <w:szCs w:val="20"/>
        </w:rPr>
        <w:t>研究顯示，在</w:t>
      </w:r>
      <w:r w:rsidRPr="003A6449">
        <w:rPr>
          <w:rStyle w:val="1"/>
          <w:rFonts w:ascii="標楷體" w:eastAsia="標楷體" w:hAnsi="標楷體" w:cs="Times New Roman"/>
          <w:snapToGrid w:val="0"/>
          <w:color w:val="auto"/>
          <w:sz w:val="20"/>
          <w:szCs w:val="20"/>
        </w:rPr>
        <w:t>海洋性貧血</w:t>
      </w:r>
      <w:r w:rsidRPr="003A6449">
        <w:rPr>
          <w:rFonts w:ascii="標楷體" w:eastAsia="標楷體" w:hAnsi="標楷體" w:cs="Times New Roman"/>
          <w:snapToGrid w:val="0"/>
          <w:sz w:val="20"/>
          <w:szCs w:val="20"/>
        </w:rPr>
        <w:t>早期階段，葡萄糖於體內的新陳代謝即受到影響，而引起</w:t>
      </w:r>
      <w:r w:rsidRPr="003A6449">
        <w:rPr>
          <w:rStyle w:val="1"/>
          <w:rFonts w:ascii="標楷體" w:eastAsia="標楷體" w:hAnsi="標楷體" w:cs="Times New Roman"/>
          <w:snapToGrid w:val="0"/>
          <w:color w:val="auto"/>
          <w:sz w:val="20"/>
          <w:szCs w:val="20"/>
        </w:rPr>
        <w:t>葡萄糖耐受性異常，這</w:t>
      </w:r>
      <w:r w:rsidRPr="003A6449">
        <w:rPr>
          <w:rFonts w:ascii="標楷體" w:eastAsia="標楷體" w:hAnsi="標楷體" w:cs="Times New Roman"/>
          <w:snapToGrid w:val="0"/>
          <w:sz w:val="20"/>
          <w:szCs w:val="20"/>
        </w:rPr>
        <w:t>可能與鐵質沉積有關</w:t>
      </w:r>
      <w:r w:rsidRPr="003A6449">
        <w:rPr>
          <w:rFonts w:ascii="標楷體" w:eastAsia="標楷體" w:hAnsi="標楷體" w:cs="Times New Roman" w:hint="eastAsia"/>
          <w:snapToGrid w:val="0"/>
          <w:sz w:val="20"/>
          <w:szCs w:val="20"/>
        </w:rPr>
        <w:t>。</w:t>
      </w:r>
    </w:p>
    <w:p w:rsidR="001427AC" w:rsidRPr="003A6449" w:rsidRDefault="001427AC" w:rsidP="00002158">
      <w:pPr>
        <w:pStyle w:val="Web"/>
        <w:tabs>
          <w:tab w:val="left" w:pos="8520"/>
        </w:tabs>
        <w:snapToGrid w:val="0"/>
        <w:spacing w:before="0" w:beforeAutospacing="0" w:after="0" w:afterAutospacing="0" w:line="500" w:lineRule="exact"/>
        <w:ind w:firstLine="482"/>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初</w:t>
      </w:r>
      <w:r w:rsidRPr="003A6449">
        <w:rPr>
          <w:rFonts w:ascii="標楷體" w:eastAsia="標楷體" w:hAnsi="標楷體" w:cs="Times New Roman"/>
          <w:snapToGrid w:val="0"/>
          <w:sz w:val="20"/>
          <w:szCs w:val="20"/>
        </w:rPr>
        <w:t>期鐵質沉積於</w:t>
      </w:r>
      <w:r w:rsidRPr="003A6449">
        <w:rPr>
          <w:rFonts w:ascii="標楷體" w:eastAsia="標楷體" w:hAnsi="標楷體" w:cs="Times New Roman" w:hint="eastAsia"/>
          <w:snapToGrid w:val="0"/>
          <w:sz w:val="20"/>
          <w:szCs w:val="20"/>
        </w:rPr>
        <w:t>胰</w:t>
      </w:r>
      <w:r w:rsidRPr="003A6449">
        <w:rPr>
          <w:rFonts w:ascii="標楷體" w:eastAsia="標楷體" w:hAnsi="標楷體" w:cs="Times New Roman"/>
          <w:snapToGrid w:val="0"/>
          <w:sz w:val="20"/>
          <w:szCs w:val="20"/>
        </w:rPr>
        <w:t>臟</w:t>
      </w:r>
      <w:r w:rsidRPr="003A6449">
        <w:rPr>
          <w:rStyle w:val="1"/>
          <w:rFonts w:ascii="標楷體" w:eastAsia="標楷體" w:hAnsi="標楷體" w:cs="Times New Roman"/>
          <w:snapToGrid w:val="0"/>
          <w:color w:val="auto"/>
          <w:sz w:val="20"/>
          <w:szCs w:val="20"/>
        </w:rPr>
        <w:t>，會引起胰島素阻抗(insulin resistance)的現象，也就是雖有胰島素分泌，但是胰島素作用不佳</w:t>
      </w:r>
      <w:r w:rsidRPr="003A6449">
        <w:rPr>
          <w:rFonts w:ascii="標楷體" w:eastAsia="標楷體" w:hAnsi="標楷體" w:cs="Times New Roman"/>
          <w:snapToGrid w:val="0"/>
          <w:sz w:val="20"/>
          <w:szCs w:val="20"/>
        </w:rPr>
        <w:t>；若</w:t>
      </w:r>
      <w:r w:rsidRPr="003A6449">
        <w:rPr>
          <w:rStyle w:val="1"/>
          <w:rFonts w:ascii="標楷體" w:eastAsia="標楷體" w:hAnsi="標楷體" w:cs="Times New Roman"/>
          <w:snapToGrid w:val="0"/>
          <w:color w:val="auto"/>
          <w:sz w:val="20"/>
          <w:szCs w:val="20"/>
        </w:rPr>
        <w:t>鐵質沉積繼續惡化，這些鐵質會堆積在胰臟，破壞胰</w:t>
      </w:r>
      <w:r w:rsidRPr="003A6449">
        <w:rPr>
          <w:rStyle w:val="1"/>
          <w:rFonts w:ascii="標楷體" w:eastAsia="標楷體" w:hAnsi="標楷體" w:cs="Times New Roman" w:hint="eastAsia"/>
          <w:snapToGrid w:val="0"/>
          <w:color w:val="auto"/>
          <w:sz w:val="20"/>
          <w:szCs w:val="20"/>
        </w:rPr>
        <w:t>臟</w:t>
      </w:r>
      <w:r w:rsidRPr="003A6449">
        <w:rPr>
          <w:rStyle w:val="1"/>
          <w:rFonts w:ascii="標楷體" w:eastAsia="標楷體" w:hAnsi="標楷體" w:cs="Times New Roman"/>
          <w:snapToGrid w:val="0"/>
          <w:color w:val="auto"/>
          <w:sz w:val="20"/>
          <w:szCs w:val="20"/>
        </w:rPr>
        <w:t>細胞，造成胰島素分泌缺乏。而鐵質沉積在肌肉，則會造成肌肉損傷，進而減少肌肉對葡萄糖的吸收。持續的胰島素阻抗與胰島素缺乏，會導致葡萄糖耐受性異常及糖尿病的發生，</w:t>
      </w:r>
      <w:r w:rsidRPr="003A6449">
        <w:rPr>
          <w:rFonts w:ascii="標楷體" w:eastAsia="標楷體" w:hAnsi="標楷體" w:cs="Times New Roman" w:hint="eastAsia"/>
          <w:snapToGrid w:val="0"/>
          <w:sz w:val="20"/>
          <w:szCs w:val="20"/>
        </w:rPr>
        <w:t>初期時</w:t>
      </w:r>
      <w:r w:rsidRPr="003A6449">
        <w:rPr>
          <w:rFonts w:ascii="標楷體" w:eastAsia="標楷體" w:hAnsi="標楷體" w:cs="Times New Roman"/>
          <w:snapToGrid w:val="0"/>
          <w:sz w:val="20"/>
          <w:szCs w:val="20"/>
        </w:rPr>
        <w:t>海洋性貧血病患的血糖控制異常情形</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臨床</w:t>
      </w:r>
      <w:r w:rsidRPr="003A6449">
        <w:rPr>
          <w:rFonts w:ascii="標楷體" w:eastAsia="標楷體" w:hAnsi="標楷體" w:cs="Times New Roman" w:hint="eastAsia"/>
          <w:snapToGrid w:val="0"/>
          <w:sz w:val="20"/>
          <w:szCs w:val="20"/>
        </w:rPr>
        <w:t>症狀</w:t>
      </w:r>
      <w:r w:rsidRPr="003A6449">
        <w:rPr>
          <w:rFonts w:ascii="標楷體" w:eastAsia="標楷體" w:hAnsi="標楷體" w:cs="Times New Roman"/>
          <w:snapToGrid w:val="0"/>
          <w:sz w:val="20"/>
          <w:szCs w:val="20"/>
        </w:rPr>
        <w:t>和生化指標變化和第2型糖尿病的相似。葡萄糖不耐症是慢慢發展形成的，飲食、運動及口服降血糖藥物(</w:t>
      </w:r>
      <w:r w:rsidRPr="003A6449">
        <w:rPr>
          <w:rFonts w:ascii="標楷體" w:eastAsia="標楷體" w:hAnsi="標楷體" w:cs="Times New Roman" w:hint="eastAsia"/>
          <w:snapToGrid w:val="0"/>
          <w:sz w:val="20"/>
          <w:szCs w:val="20"/>
        </w:rPr>
        <w:t>O</w:t>
      </w:r>
      <w:r w:rsidRPr="003A6449">
        <w:rPr>
          <w:rFonts w:ascii="標楷體" w:eastAsia="標楷體" w:hAnsi="標楷體" w:cs="Times New Roman"/>
          <w:snapToGrid w:val="0"/>
          <w:sz w:val="20"/>
          <w:szCs w:val="20"/>
        </w:rPr>
        <w:t xml:space="preserve">ral </w:t>
      </w:r>
      <w:r w:rsidRPr="003A6449">
        <w:rPr>
          <w:rFonts w:ascii="標楷體" w:eastAsia="標楷體" w:hAnsi="標楷體" w:cs="Times New Roman" w:hint="eastAsia"/>
          <w:snapToGrid w:val="0"/>
          <w:sz w:val="20"/>
          <w:szCs w:val="20"/>
        </w:rPr>
        <w:t>H</w:t>
      </w:r>
      <w:r w:rsidRPr="003A6449">
        <w:rPr>
          <w:rFonts w:ascii="標楷體" w:eastAsia="標楷體" w:hAnsi="標楷體" w:cs="Times New Roman"/>
          <w:snapToGrid w:val="0"/>
          <w:sz w:val="20"/>
          <w:szCs w:val="20"/>
        </w:rPr>
        <w:t xml:space="preserve">ypoglycemic </w:t>
      </w:r>
      <w:r w:rsidRPr="003A6449">
        <w:rPr>
          <w:rFonts w:ascii="標楷體" w:eastAsia="標楷體" w:hAnsi="標楷體" w:cs="Times New Roman" w:hint="eastAsia"/>
          <w:snapToGrid w:val="0"/>
          <w:sz w:val="20"/>
          <w:szCs w:val="20"/>
        </w:rPr>
        <w:t>A</w:t>
      </w:r>
      <w:r w:rsidRPr="003A6449">
        <w:rPr>
          <w:rFonts w:ascii="標楷體" w:eastAsia="標楷體" w:hAnsi="標楷體" w:cs="Times New Roman"/>
          <w:snapToGrid w:val="0"/>
          <w:sz w:val="20"/>
          <w:szCs w:val="20"/>
        </w:rPr>
        <w:t>gents; OHA)皆會影響血糖的控制，若是繼續控制不佳</w:t>
      </w:r>
      <w:r w:rsidRPr="003A6449">
        <w:rPr>
          <w:rStyle w:val="1"/>
          <w:rFonts w:ascii="標楷體" w:eastAsia="標楷體" w:hAnsi="標楷體" w:cs="Times New Roman"/>
          <w:snapToGrid w:val="0"/>
          <w:color w:val="auto"/>
          <w:sz w:val="20"/>
          <w:szCs w:val="20"/>
        </w:rPr>
        <w:t>，就如同胰島素缺</w:t>
      </w:r>
      <w:r w:rsidR="003A6449">
        <w:rPr>
          <w:rStyle w:val="1"/>
          <w:rFonts w:ascii="標楷體" w:eastAsia="標楷體" w:hAnsi="標楷體" w:cs="Times New Roman"/>
          <w:snapToGrid w:val="0"/>
          <w:color w:val="auto"/>
          <w:sz w:val="20"/>
          <w:szCs w:val="20"/>
        </w:rPr>
        <w:t>乏之第</w:t>
      </w:r>
      <w:r w:rsidR="003A6449">
        <w:rPr>
          <w:rStyle w:val="1"/>
          <w:rFonts w:ascii="標楷體" w:eastAsia="標楷體" w:hAnsi="標楷體" w:cs="Times New Roman" w:hint="eastAsia"/>
          <w:snapToGrid w:val="0"/>
          <w:color w:val="auto"/>
          <w:sz w:val="20"/>
          <w:szCs w:val="20"/>
        </w:rPr>
        <w:t>1</w:t>
      </w:r>
      <w:r w:rsidRPr="003A6449">
        <w:rPr>
          <w:rStyle w:val="1"/>
          <w:rFonts w:ascii="標楷體" w:eastAsia="標楷體" w:hAnsi="標楷體" w:cs="Times New Roman"/>
          <w:snapToGrid w:val="0"/>
          <w:color w:val="auto"/>
          <w:sz w:val="20"/>
          <w:szCs w:val="20"/>
        </w:rPr>
        <w:t>型糖尿病患</w:t>
      </w:r>
      <w:r w:rsidRPr="003A6449">
        <w:rPr>
          <w:rFonts w:ascii="標楷體" w:eastAsia="標楷體" w:hAnsi="標楷體" w:cs="Times New Roman"/>
          <w:snapToGrid w:val="0"/>
          <w:sz w:val="20"/>
          <w:szCs w:val="20"/>
        </w:rPr>
        <w:t>，必須施打胰島素來控制血糖。</w:t>
      </w:r>
    </w:p>
    <w:p w:rsidR="001427AC" w:rsidRPr="003A6449" w:rsidRDefault="001427AC" w:rsidP="00002158">
      <w:pPr>
        <w:pStyle w:val="Web"/>
        <w:tabs>
          <w:tab w:val="left" w:pos="8520"/>
        </w:tabs>
        <w:snapToGrid w:val="0"/>
        <w:spacing w:before="0" w:beforeAutospacing="0" w:after="0" w:afterAutospacing="0" w:line="500" w:lineRule="exact"/>
        <w:ind w:firstLine="482"/>
        <w:jc w:val="both"/>
        <w:rPr>
          <w:rFonts w:ascii="標楷體" w:eastAsia="標楷體" w:hAnsi="標楷體" w:cs="Times New Roman"/>
          <w:snapToGrid w:val="0"/>
          <w:sz w:val="20"/>
          <w:szCs w:val="20"/>
        </w:rPr>
      </w:pPr>
      <w:r w:rsidRPr="003A6449">
        <w:rPr>
          <w:rFonts w:ascii="標楷體" w:eastAsia="標楷體" w:hAnsi="標楷體" w:cs="Times New Roman"/>
          <w:snapToGrid w:val="0"/>
          <w:sz w:val="20"/>
          <w:szCs w:val="20"/>
        </w:rPr>
        <w:t>長期輸血的海貧兒，要及早檢驗是否有葡萄糖不耐症，在開始輸血十年之後，建議密切追蹤血糖濃度的變化。此外，建議</w:t>
      </w:r>
      <w:r w:rsidRPr="003A6449">
        <w:rPr>
          <w:rFonts w:ascii="標楷體" w:eastAsia="標楷體" w:hAnsi="標楷體" w:cs="Times New Roman" w:hint="eastAsia"/>
          <w:snapToGrid w:val="0"/>
          <w:sz w:val="20"/>
          <w:szCs w:val="20"/>
        </w:rPr>
        <w:t>除</w:t>
      </w:r>
      <w:r w:rsidRPr="003A6449">
        <w:rPr>
          <w:rFonts w:ascii="標楷體" w:eastAsia="標楷體" w:hAnsi="標楷體" w:cs="Times New Roman"/>
          <w:snapToGrid w:val="0"/>
          <w:sz w:val="20"/>
          <w:szCs w:val="20"/>
        </w:rPr>
        <w:t>積極排鐵治療</w:t>
      </w:r>
      <w:r w:rsidRPr="003A6449">
        <w:rPr>
          <w:rFonts w:ascii="標楷體" w:eastAsia="標楷體" w:hAnsi="標楷體" w:cs="Times New Roman" w:hint="eastAsia"/>
          <w:snapToGrid w:val="0"/>
          <w:sz w:val="20"/>
          <w:szCs w:val="20"/>
        </w:rPr>
        <w:t>外，更要注意</w:t>
      </w:r>
      <w:r w:rsidRPr="003A6449">
        <w:rPr>
          <w:rFonts w:ascii="標楷體" w:eastAsia="標楷體" w:hAnsi="標楷體" w:cs="Times New Roman"/>
          <w:snapToGrid w:val="0"/>
          <w:sz w:val="20"/>
          <w:szCs w:val="20"/>
        </w:rPr>
        <w:t>飲食</w:t>
      </w:r>
      <w:r w:rsidRPr="003A6449">
        <w:rPr>
          <w:rFonts w:ascii="標楷體" w:eastAsia="標楷體" w:hAnsi="標楷體" w:cs="Times New Roman" w:hint="eastAsia"/>
          <w:snapToGrid w:val="0"/>
          <w:sz w:val="20"/>
          <w:szCs w:val="20"/>
        </w:rPr>
        <w:t>控制與適當的</w:t>
      </w:r>
      <w:r w:rsidRPr="003A6449">
        <w:rPr>
          <w:rFonts w:ascii="標楷體" w:eastAsia="標楷體" w:hAnsi="標楷體" w:cs="Times New Roman"/>
          <w:snapToGrid w:val="0"/>
          <w:sz w:val="20"/>
          <w:szCs w:val="20"/>
        </w:rPr>
        <w:t>運動，可減緩葡萄糖不耐症，進而減緩糖尿病惡化。</w:t>
      </w:r>
    </w:p>
    <w:p w:rsidR="001427AC" w:rsidRPr="003A6449" w:rsidRDefault="001427AC" w:rsidP="00554293">
      <w:pPr>
        <w:snapToGrid w:val="0"/>
        <w:spacing w:beforeLines="50" w:before="163"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一、</w:t>
      </w:r>
      <w:r w:rsidRPr="003A6449">
        <w:rPr>
          <w:rFonts w:ascii="標楷體" w:eastAsia="標楷體" w:hAnsi="標楷體"/>
          <w:b/>
          <w:snapToGrid w:val="0"/>
          <w:kern w:val="0"/>
          <w:sz w:val="20"/>
          <w:szCs w:val="20"/>
        </w:rPr>
        <w:t>糖尿病的飲食控制簡介：營養治療（</w:t>
      </w:r>
      <w:r w:rsidRPr="003A6449">
        <w:rPr>
          <w:rFonts w:ascii="標楷體" w:eastAsia="標楷體" w:hAnsi="標楷體" w:hint="eastAsia"/>
          <w:b/>
          <w:snapToGrid w:val="0"/>
          <w:kern w:val="0"/>
          <w:sz w:val="20"/>
          <w:szCs w:val="20"/>
        </w:rPr>
        <w:t>M</w:t>
      </w:r>
      <w:r w:rsidRPr="003A6449">
        <w:rPr>
          <w:rFonts w:ascii="標楷體" w:eastAsia="標楷體" w:hAnsi="標楷體"/>
          <w:b/>
          <w:snapToGrid w:val="0"/>
          <w:kern w:val="0"/>
          <w:sz w:val="20"/>
          <w:szCs w:val="20"/>
        </w:rPr>
        <w:t xml:space="preserve">edical </w:t>
      </w:r>
      <w:r w:rsidRPr="003A6449">
        <w:rPr>
          <w:rFonts w:ascii="標楷體" w:eastAsia="標楷體" w:hAnsi="標楷體" w:hint="eastAsia"/>
          <w:b/>
          <w:snapToGrid w:val="0"/>
          <w:kern w:val="0"/>
          <w:sz w:val="20"/>
          <w:szCs w:val="20"/>
        </w:rPr>
        <w:t>N</w:t>
      </w:r>
      <w:r w:rsidRPr="003A6449">
        <w:rPr>
          <w:rFonts w:ascii="標楷體" w:eastAsia="標楷體" w:hAnsi="標楷體"/>
          <w:b/>
          <w:snapToGrid w:val="0"/>
          <w:kern w:val="0"/>
          <w:sz w:val="20"/>
          <w:szCs w:val="20"/>
        </w:rPr>
        <w:t xml:space="preserve">utrition </w:t>
      </w:r>
      <w:r w:rsidRPr="003A6449">
        <w:rPr>
          <w:rFonts w:ascii="標楷體" w:eastAsia="標楷體" w:hAnsi="標楷體" w:hint="eastAsia"/>
          <w:b/>
          <w:snapToGrid w:val="0"/>
          <w:kern w:val="0"/>
          <w:sz w:val="20"/>
          <w:szCs w:val="20"/>
        </w:rPr>
        <w:t>T</w:t>
      </w:r>
      <w:r w:rsidRPr="003A6449">
        <w:rPr>
          <w:rFonts w:ascii="標楷體" w:eastAsia="標楷體" w:hAnsi="標楷體"/>
          <w:b/>
          <w:snapToGrid w:val="0"/>
          <w:kern w:val="0"/>
          <w:sz w:val="20"/>
          <w:szCs w:val="20"/>
        </w:rPr>
        <w:t>herapy）</w:t>
      </w:r>
    </w:p>
    <w:p w:rsidR="001427AC" w:rsidRPr="003A6449" w:rsidRDefault="001427AC" w:rsidP="00002158">
      <w:pPr>
        <w:snapToGrid w:val="0"/>
        <w:spacing w:line="500" w:lineRule="exact"/>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ab/>
        <w:t>營養治療的目標：(1)達到理想的血糖、糖化血色素(A</w:t>
      </w:r>
      <w:smartTag w:uri="urn:schemas-microsoft-com:office:smarttags" w:element="chmetcnv">
        <w:smartTagPr>
          <w:attr w:name="TCSC" w:val="0"/>
          <w:attr w:name="NumberType" w:val="1"/>
          <w:attr w:name="Negative" w:val="False"/>
          <w:attr w:name="HasSpace" w:val="False"/>
          <w:attr w:name="SourceValue" w:val="1"/>
          <w:attr w:name="UnitName" w:val="C"/>
        </w:smartTagPr>
        <w:r w:rsidRPr="003A6449">
          <w:rPr>
            <w:rFonts w:ascii="標楷體" w:eastAsia="標楷體" w:hAnsi="標楷體"/>
            <w:snapToGrid w:val="0"/>
            <w:kern w:val="0"/>
            <w:sz w:val="20"/>
            <w:szCs w:val="20"/>
          </w:rPr>
          <w:t>1C</w:t>
        </w:r>
      </w:smartTag>
      <w:r w:rsidRPr="003A6449">
        <w:rPr>
          <w:rFonts w:ascii="標楷體" w:eastAsia="標楷體" w:hAnsi="標楷體"/>
          <w:snapToGrid w:val="0"/>
          <w:kern w:val="0"/>
          <w:sz w:val="20"/>
          <w:szCs w:val="20"/>
        </w:rPr>
        <w:t>)控制，(2)達到理想的血脂肪（高密度脂蛋白膽固醇HDL cholesterol、低密度脂蛋白膽固醇LDL cholesterol、三酸甘油酯/中性脂肪triglyceride）控制，(3)供給適當的熱量，以維持正常的生長發育、理想體重及懷孕哺乳所需，(4)預防、延緩或治療與營養相關的合併症，如：低血糖、腎病變、神經病變、心血管疾病等，(5)經由適當的營養（鼓勵家長及病童多多選擇食用健康的食物，如：蔬菜）以促進健康，(6)配合個別文化背景、營養需求、生活形態調整飲食計畫，(7)預防嚴重的低血糖發生。</w:t>
      </w:r>
    </w:p>
    <w:p w:rsidR="001427AC" w:rsidRPr="003A6449" w:rsidRDefault="001427AC" w:rsidP="00002158">
      <w:pPr>
        <w:snapToGrid w:val="0"/>
        <w:spacing w:line="500" w:lineRule="exact"/>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ab/>
        <w:t>營養治療的內容方面，應包括：評估飲食攝取狀況、代謝狀況、生活形態與隨時做改變的準備、目標設定、飲食指導與評估等。</w:t>
      </w:r>
    </w:p>
    <w:p w:rsidR="001427AC" w:rsidRPr="003A6449" w:rsidRDefault="001427AC" w:rsidP="00002158">
      <w:pPr>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重度海洋性貧血病患之初期糖尿病或葡萄糖不耐症患者，為非胰島素依賴，似第2型糖尿病的病童，若伴隨有體重過重或肥胖的問題，可經由飲食行為及身體活動習慣的改變達到控制。但是到後期，胰島素分泌亦不足者，便類似胰島素依賴之第1型糖尿病的病童，除了要注意提供他們適當的熱量以維持正常的生長發育外，更要將胰島素療法與平日的飲食及身體活動習慣融為一體。因此，營養治療與營養教育的施行，包括飲食計畫的方法與教材內容，應考慮病童的個別需求、接受度與生活模式，使計畫具有彈性，讓病童及家長容易落實、確實執行。</w:t>
      </w:r>
    </w:p>
    <w:p w:rsidR="001427AC" w:rsidRPr="003A6449" w:rsidRDefault="001427AC" w:rsidP="00554293">
      <w:pPr>
        <w:tabs>
          <w:tab w:val="left" w:pos="540"/>
        </w:tabs>
        <w:snapToGrid w:val="0"/>
        <w:spacing w:beforeLines="100" w:before="326"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lastRenderedPageBreak/>
        <w:t>二、</w:t>
      </w:r>
      <w:r w:rsidRPr="003A6449">
        <w:rPr>
          <w:rFonts w:ascii="標楷體" w:eastAsia="標楷體" w:hAnsi="標楷體"/>
          <w:b/>
          <w:snapToGrid w:val="0"/>
          <w:kern w:val="0"/>
          <w:sz w:val="20"/>
          <w:szCs w:val="20"/>
        </w:rPr>
        <w:t>糖尿病的一般</w:t>
      </w:r>
      <w:r w:rsidRPr="003A6449">
        <w:rPr>
          <w:rFonts w:ascii="標楷體" w:eastAsia="標楷體" w:hAnsi="標楷體" w:hint="eastAsia"/>
          <w:b/>
          <w:snapToGrid w:val="0"/>
          <w:kern w:val="0"/>
          <w:sz w:val="20"/>
          <w:szCs w:val="20"/>
        </w:rPr>
        <w:t>飲食</w:t>
      </w:r>
      <w:r w:rsidRPr="003A6449">
        <w:rPr>
          <w:rFonts w:ascii="標楷體" w:eastAsia="標楷體" w:hAnsi="標楷體"/>
          <w:b/>
          <w:snapToGrid w:val="0"/>
          <w:kern w:val="0"/>
          <w:sz w:val="20"/>
          <w:szCs w:val="20"/>
        </w:rPr>
        <w:t>原則</w:t>
      </w:r>
    </w:p>
    <w:p w:rsidR="001427AC" w:rsidRPr="003A6449" w:rsidRDefault="001427AC" w:rsidP="00002158">
      <w:pPr>
        <w:adjustRightInd w:val="0"/>
        <w:snapToGrid w:val="0"/>
        <w:spacing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 xml:space="preserve"> 1. </w:t>
      </w:r>
      <w:r w:rsidRPr="003A6449">
        <w:rPr>
          <w:rFonts w:ascii="標楷體" w:eastAsia="標楷體" w:hAnsi="標楷體"/>
          <w:snapToGrid w:val="0"/>
          <w:kern w:val="0"/>
          <w:sz w:val="20"/>
          <w:szCs w:val="20"/>
        </w:rPr>
        <w:t>以均衡飲食為原則，維持每日定時</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定量</w:t>
      </w:r>
      <w:r w:rsidRPr="003A6449">
        <w:rPr>
          <w:rFonts w:ascii="標楷體" w:eastAsia="標楷體" w:hAnsi="標楷體" w:hint="eastAsia"/>
          <w:snapToGrid w:val="0"/>
          <w:kern w:val="0"/>
          <w:sz w:val="20"/>
          <w:szCs w:val="20"/>
        </w:rPr>
        <w:t>之</w:t>
      </w:r>
      <w:r w:rsidRPr="003A6449">
        <w:rPr>
          <w:rFonts w:ascii="標楷體" w:eastAsia="標楷體" w:hAnsi="標楷體"/>
          <w:snapToGrid w:val="0"/>
          <w:kern w:val="0"/>
          <w:sz w:val="20"/>
          <w:szCs w:val="20"/>
        </w:rPr>
        <w:t>正餐及點心</w:t>
      </w:r>
      <w:r w:rsidRPr="003A6449">
        <w:rPr>
          <w:rFonts w:ascii="標楷體" w:eastAsia="標楷體" w:hAnsi="標楷體" w:hint="eastAsia"/>
          <w:snapToGrid w:val="0"/>
          <w:kern w:val="0"/>
          <w:sz w:val="20"/>
          <w:szCs w:val="20"/>
        </w:rPr>
        <w:t>：</w:t>
      </w:r>
    </w:p>
    <w:p w:rsidR="001427AC" w:rsidRPr="003A6449" w:rsidRDefault="001427AC" w:rsidP="00002158">
      <w:pPr>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均衡的糖尿病飲食，須符合「少糖、少鹽、少油、高纖」的原則：</w:t>
      </w:r>
    </w:p>
    <w:p w:rsidR="001427AC" w:rsidRPr="003A6449" w:rsidRDefault="001427AC" w:rsidP="00002158">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選擇天然、粗糙、高纖、少加工的食材；減少油煎、油炸的烹調方法；減少含大量油脂的食物；主食來源多選擇全穀和根莖類，增加纖維質，降低食物的升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指數（註</w:t>
      </w:r>
      <w:r w:rsidR="003A6449">
        <w:rPr>
          <w:rFonts w:ascii="標楷體" w:eastAsia="標楷體" w:hAnsi="標楷體" w:hint="eastAsia"/>
          <w:snapToGrid w:val="0"/>
          <w:kern w:val="0"/>
          <w:sz w:val="20"/>
          <w:szCs w:val="20"/>
        </w:rPr>
        <w:t>1</w:t>
      </w:r>
      <w:r w:rsidRPr="003A6449">
        <w:rPr>
          <w:rFonts w:ascii="標楷體" w:eastAsia="標楷體" w:hAnsi="標楷體"/>
          <w:snapToGrid w:val="0"/>
          <w:kern w:val="0"/>
          <w:sz w:val="20"/>
          <w:szCs w:val="20"/>
        </w:rPr>
        <w:t>）；選擇適合的食物，避免攝取某部分的食品。最好的保養之道是食物種類多樣化且不偏食。</w:t>
      </w:r>
    </w:p>
    <w:p w:rsidR="001427AC" w:rsidRPr="003A6449" w:rsidRDefault="001427AC" w:rsidP="003A6449">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要</w:t>
      </w:r>
      <w:r w:rsidRPr="003A6449">
        <w:rPr>
          <w:rFonts w:ascii="標楷體" w:eastAsia="標楷體" w:hAnsi="標楷體"/>
          <w:snapToGrid w:val="0"/>
          <w:kern w:val="0"/>
          <w:sz w:val="20"/>
          <w:szCs w:val="20"/>
        </w:rPr>
        <w:t>養成定時定量的飲食習慣</w:t>
      </w:r>
      <w:r w:rsidRPr="003A6449">
        <w:rPr>
          <w:rFonts w:ascii="標楷體" w:eastAsia="標楷體" w:hAnsi="標楷體" w:hint="eastAsia"/>
          <w:snapToGrid w:val="0"/>
          <w:kern w:val="0"/>
          <w:sz w:val="20"/>
          <w:szCs w:val="20"/>
        </w:rPr>
        <w:t>，須少量多餐，</w:t>
      </w:r>
      <w:r w:rsidRPr="003A6449">
        <w:rPr>
          <w:rFonts w:ascii="標楷體" w:eastAsia="標楷體" w:hAnsi="標楷體"/>
          <w:snapToGrid w:val="0"/>
          <w:kern w:val="0"/>
          <w:sz w:val="20"/>
          <w:szCs w:val="20"/>
        </w:rPr>
        <w:t>利用點心來預防低血糖的</w:t>
      </w: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 xml:space="preserve">發生，但應避免過度矯正低血糖；可運用食品標示控制碳水化合物的份量，降低總脂肪、膽固醇，及飽和脂肪的攝取量，以維持適當的成長及體重，避免體重過重或肥胖；增加纖維質的攝取量，有助於飽足感與血糖穩定；避免高鹽份食物和過量蛋白質的攝取，以免造成腎臟的負擔。 </w:t>
      </w:r>
    </w:p>
    <w:p w:rsidR="001427AC" w:rsidRPr="003A6449" w:rsidRDefault="001427AC" w:rsidP="003A6449">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2.</w:t>
      </w:r>
      <w:r w:rsidR="007A5D2B" w:rsidRPr="003A6449">
        <w:rPr>
          <w:rFonts w:ascii="標楷體" w:eastAsia="標楷體" w:hAnsi="標楷體"/>
          <w:snapToGrid w:val="0"/>
          <w:kern w:val="0"/>
          <w:sz w:val="20"/>
          <w:szCs w:val="20"/>
        </w:rPr>
        <w:t>少吃油</w:t>
      </w:r>
      <w:r w:rsidR="007A5D2B" w:rsidRPr="003A6449">
        <w:rPr>
          <w:rFonts w:ascii="標楷體" w:eastAsia="標楷體" w:hAnsi="標楷體" w:hint="eastAsia"/>
          <w:snapToGrid w:val="0"/>
          <w:kern w:val="0"/>
          <w:sz w:val="20"/>
          <w:szCs w:val="20"/>
        </w:rPr>
        <w:t>炸</w:t>
      </w:r>
      <w:r w:rsidRPr="003A6449">
        <w:rPr>
          <w:rFonts w:ascii="標楷體" w:eastAsia="標楷體" w:hAnsi="標楷體"/>
          <w:snapToGrid w:val="0"/>
          <w:kern w:val="0"/>
          <w:sz w:val="20"/>
          <w:szCs w:val="20"/>
        </w:rPr>
        <w:t>、油煎或油酥，及豬皮、雞皮等含油脂高的食物</w:t>
      </w:r>
      <w:r w:rsidRPr="003A6449">
        <w:rPr>
          <w:rFonts w:ascii="標楷體" w:eastAsia="標楷體" w:hAnsi="標楷體" w:hint="eastAsia"/>
          <w:snapToGrid w:val="0"/>
          <w:kern w:val="0"/>
          <w:sz w:val="20"/>
          <w:szCs w:val="20"/>
        </w:rPr>
        <w:t>：</w:t>
      </w:r>
    </w:p>
    <w:p w:rsidR="001427AC" w:rsidRPr="003A6449" w:rsidRDefault="001427AC" w:rsidP="003A6449">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炒菜時宜選用不飽和脂肪酸高的油，如：大豆油、花生油、玉米油、葵花油、橄欖油、紅花子油等，少用飽和脂肪酸高的油，如：豬油、牛油、肥肉、奶油等</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烹調宜多採用清蒸、水煮、涼拌、烤、燒、燉、滷等方式。</w:t>
      </w:r>
    </w:p>
    <w:p w:rsidR="001427AC" w:rsidRPr="003A6449" w:rsidRDefault="001427AC" w:rsidP="003A6449">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3.</w:t>
      </w:r>
      <w:r w:rsidRPr="003A6449">
        <w:rPr>
          <w:rFonts w:ascii="標楷體" w:eastAsia="標楷體" w:hAnsi="標楷體"/>
          <w:snapToGrid w:val="0"/>
          <w:kern w:val="0"/>
          <w:sz w:val="20"/>
          <w:szCs w:val="20"/>
        </w:rPr>
        <w:t>常選用富含纖維質高的食物</w:t>
      </w:r>
      <w:r w:rsidRPr="003A6449">
        <w:rPr>
          <w:rFonts w:ascii="標楷體" w:eastAsia="標楷體" w:hAnsi="標楷體" w:hint="eastAsia"/>
          <w:snapToGrid w:val="0"/>
          <w:kern w:val="0"/>
          <w:sz w:val="20"/>
          <w:szCs w:val="20"/>
        </w:rPr>
        <w:t>：</w:t>
      </w:r>
    </w:p>
    <w:p w:rsidR="001427AC" w:rsidRPr="003A6449" w:rsidRDefault="001427AC" w:rsidP="003A6449">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未加工的豆類、蔬菜、水果，及全穀類，可延緩血糖的上升。中西式點心及節慶應景食品，應按營養師指導使用。少吃富含精製糖類的食物如：糖果、煉乳、蜂蜜、汽水、罐裝果汁等。嗜甜食者，可選用甜味劑(代糖)替代一般糖。</w:t>
      </w:r>
    </w:p>
    <w:p w:rsidR="001427AC" w:rsidRPr="003A6449" w:rsidRDefault="001427AC" w:rsidP="003A6449">
      <w:pPr>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4.</w:t>
      </w:r>
      <w:r w:rsidRPr="003A6449">
        <w:rPr>
          <w:rFonts w:ascii="標楷體" w:eastAsia="標楷體" w:hAnsi="標楷體"/>
          <w:snapToGrid w:val="0"/>
          <w:kern w:val="0"/>
          <w:sz w:val="20"/>
          <w:szCs w:val="20"/>
        </w:rPr>
        <w:t>最基本的是要能夠落實提供糖尿病病患“營養自我照顧”之營養教育和妥善照護。</w:t>
      </w:r>
    </w:p>
    <w:p w:rsidR="001427AC" w:rsidRPr="003A6449" w:rsidRDefault="001427AC" w:rsidP="003A6449">
      <w:pPr>
        <w:snapToGrid w:val="0"/>
        <w:spacing w:line="400" w:lineRule="exact"/>
        <w:ind w:leftChars="166" w:left="1198" w:hangingChars="400" w:hanging="8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＜註</w:t>
      </w:r>
      <w:r w:rsidR="003A6449">
        <w:rPr>
          <w:rFonts w:ascii="標楷體" w:eastAsia="標楷體" w:hAnsi="標楷體" w:hint="eastAsia"/>
          <w:snapToGrid w:val="0"/>
          <w:kern w:val="0"/>
          <w:sz w:val="20"/>
          <w:szCs w:val="20"/>
        </w:rPr>
        <w:t>1</w:t>
      </w:r>
      <w:r w:rsidRPr="003A6449">
        <w:rPr>
          <w:rFonts w:ascii="標楷體" w:eastAsia="標楷體" w:hAnsi="標楷體"/>
          <w:snapToGrid w:val="0"/>
          <w:kern w:val="0"/>
          <w:sz w:val="20"/>
          <w:szCs w:val="20"/>
        </w:rPr>
        <w:t>＞：「升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指數」指的是特定碳水化合物對血糖的影響。高升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指數的食</w:t>
      </w:r>
      <w:r w:rsidRPr="003A6449">
        <w:rPr>
          <w:rFonts w:ascii="標楷體" w:eastAsia="標楷體" w:hAnsi="標楷體" w:hint="eastAsia"/>
          <w:snapToGrid w:val="0"/>
          <w:kern w:val="0"/>
          <w:sz w:val="20"/>
          <w:szCs w:val="20"/>
        </w:rPr>
        <w:t xml:space="preserve">  </w:t>
      </w:r>
    </w:p>
    <w:p w:rsidR="001427AC" w:rsidRPr="003A6449" w:rsidRDefault="001427AC" w:rsidP="003A6449">
      <w:pPr>
        <w:snapToGrid w:val="0"/>
        <w:spacing w:line="400" w:lineRule="exact"/>
        <w:ind w:leftChars="166" w:left="1198" w:hangingChars="400" w:hanging="8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物，如白土司和馬鈴薯，會讓血糖快速升高；低升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指數的食物，如</w:t>
      </w:r>
    </w:p>
    <w:p w:rsidR="001427AC" w:rsidRPr="003A6449" w:rsidRDefault="001427AC" w:rsidP="003A6449">
      <w:pPr>
        <w:snapToGrid w:val="0"/>
        <w:spacing w:line="400" w:lineRule="exact"/>
        <w:ind w:leftChars="166" w:left="1198" w:hangingChars="400" w:hanging="8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扁豆、大豆、優酪乳以及許多高纖穀物，讓血糖上升較為穩定。升</w:t>
      </w:r>
      <w:r w:rsidRPr="003A6449">
        <w:rPr>
          <w:rFonts w:ascii="標楷體" w:eastAsia="標楷體" w:hAnsi="標楷體" w:hint="eastAsia"/>
          <w:snapToGrid w:val="0"/>
          <w:kern w:val="0"/>
          <w:sz w:val="20"/>
          <w:szCs w:val="20"/>
        </w:rPr>
        <w:t>糖</w:t>
      </w:r>
    </w:p>
    <w:p w:rsidR="001427AC" w:rsidRPr="003A6449" w:rsidRDefault="001427AC" w:rsidP="003A6449">
      <w:pPr>
        <w:snapToGrid w:val="0"/>
        <w:spacing w:line="400" w:lineRule="exact"/>
        <w:ind w:leftChars="166" w:left="1198" w:hangingChars="400" w:hanging="8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指數愈高表示愈容易帶動血糖上升，造成血糖的穩定度較差。</w:t>
      </w:r>
    </w:p>
    <w:p w:rsidR="001427AC" w:rsidRPr="003A6449" w:rsidRDefault="001427AC" w:rsidP="003A6449">
      <w:pPr>
        <w:tabs>
          <w:tab w:val="left" w:pos="540"/>
        </w:tabs>
        <w:snapToGrid w:val="0"/>
        <w:spacing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三、</w:t>
      </w:r>
      <w:r w:rsidRPr="003A6449">
        <w:rPr>
          <w:rFonts w:ascii="標楷體" w:eastAsia="標楷體" w:hAnsi="標楷體"/>
          <w:b/>
          <w:snapToGrid w:val="0"/>
          <w:kern w:val="0"/>
          <w:sz w:val="20"/>
          <w:szCs w:val="20"/>
        </w:rPr>
        <w:t>糖尿病</w:t>
      </w:r>
      <w:r w:rsidRPr="003A6449">
        <w:rPr>
          <w:rFonts w:ascii="標楷體" w:eastAsia="標楷體" w:hAnsi="標楷體" w:hint="eastAsia"/>
          <w:b/>
          <w:snapToGrid w:val="0"/>
          <w:kern w:val="0"/>
          <w:sz w:val="20"/>
          <w:szCs w:val="20"/>
        </w:rPr>
        <w:t>飲食</w:t>
      </w:r>
      <w:r w:rsidRPr="003A6449">
        <w:rPr>
          <w:rFonts w:ascii="標楷體" w:eastAsia="標楷體" w:hAnsi="標楷體"/>
          <w:b/>
          <w:snapToGrid w:val="0"/>
          <w:kern w:val="0"/>
          <w:sz w:val="20"/>
          <w:szCs w:val="20"/>
        </w:rPr>
        <w:t>的</w:t>
      </w:r>
      <w:r w:rsidRPr="003A6449">
        <w:rPr>
          <w:rFonts w:ascii="標楷體" w:eastAsia="標楷體" w:hAnsi="標楷體" w:hint="eastAsia"/>
          <w:b/>
          <w:snapToGrid w:val="0"/>
          <w:kern w:val="0"/>
          <w:sz w:val="20"/>
          <w:szCs w:val="20"/>
        </w:rPr>
        <w:t>營養素控制：</w:t>
      </w:r>
    </w:p>
    <w:p w:rsidR="001427AC" w:rsidRPr="003A6449" w:rsidRDefault="001427AC" w:rsidP="00554293">
      <w:pPr>
        <w:adjustRightInd w:val="0"/>
        <w:snapToGrid w:val="0"/>
        <w:spacing w:beforeLines="50" w:before="163"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1.</w:t>
      </w:r>
      <w:r w:rsidRPr="003A6449">
        <w:rPr>
          <w:rFonts w:ascii="標楷體" w:eastAsia="標楷體" w:hAnsi="標楷體"/>
          <w:snapToGrid w:val="0"/>
          <w:kern w:val="0"/>
          <w:sz w:val="20"/>
          <w:szCs w:val="20"/>
        </w:rPr>
        <w:t>熱量</w:t>
      </w:r>
    </w:p>
    <w:p w:rsidR="001427AC" w:rsidRPr="003A6449" w:rsidRDefault="001427AC" w:rsidP="00002158">
      <w:pPr>
        <w:numPr>
          <w:ilvl w:val="12"/>
          <w:numId w:val="0"/>
        </w:numPr>
        <w:snapToGrid w:val="0"/>
        <w:spacing w:line="500" w:lineRule="exact"/>
        <w:ind w:firstLine="482"/>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總熱量以達到或維持理想體重為原則。對於幼兒、兒童及青少年的糖尿病患，可依每個人的狀況不同做彈性的調整，變化飲食設計。</w:t>
      </w:r>
    </w:p>
    <w:p w:rsidR="001427AC" w:rsidRPr="003A6449" w:rsidRDefault="001427AC" w:rsidP="00002158">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2.</w:t>
      </w:r>
      <w:r w:rsidRPr="003A6449">
        <w:rPr>
          <w:rFonts w:ascii="標楷體" w:eastAsia="標楷體" w:hAnsi="標楷體"/>
          <w:snapToGrid w:val="0"/>
          <w:kern w:val="0"/>
          <w:sz w:val="20"/>
          <w:szCs w:val="20"/>
        </w:rPr>
        <w:t>碳水化合物</w:t>
      </w:r>
    </w:p>
    <w:p w:rsidR="001427AC" w:rsidRPr="003A6449" w:rsidRDefault="001427AC" w:rsidP="00002158">
      <w:pPr>
        <w:adjustRightInd w:val="0"/>
        <w:snapToGrid w:val="0"/>
        <w:spacing w:line="500" w:lineRule="exact"/>
        <w:ind w:firstLine="48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佔總熱量之百分比並沒有一定的限制，一般多控制在總熱量的45～65%（依據The National Academy of Science-Food Nutrition Board的建議），可依個人的喜好及血糖、血脂肪的控制目標，</w:t>
      </w:r>
      <w:r w:rsidRPr="003A6449">
        <w:rPr>
          <w:rFonts w:ascii="標楷體" w:eastAsia="標楷體" w:hAnsi="標楷體"/>
          <w:snapToGrid w:val="0"/>
          <w:kern w:val="0"/>
          <w:sz w:val="20"/>
          <w:szCs w:val="20"/>
        </w:rPr>
        <w:lastRenderedPageBreak/>
        <w:t>機動性的加以調整。首先要顧慮的是攝取總量，而非來源，即食物中碳水化合物『總量』，比『來源』更重要；也就是說，比較需要重視的是：吃了多少『量』的碳水化合物﹖什麼時候吃﹖和什麼東西一起吃﹖若能多選用富含可溶性纖維質的食物，則有助於血糖的穩定。可食用簡單碳水化合物(如：葡萄糖、果糖、蔗糖、乳糖)，</w:t>
      </w:r>
      <w:r w:rsidRPr="003A6449">
        <w:rPr>
          <w:rFonts w:ascii="標楷體" w:eastAsia="標楷體" w:hAnsi="標楷體" w:hint="eastAsia"/>
          <w:snapToGrid w:val="0"/>
          <w:kern w:val="0"/>
          <w:sz w:val="20"/>
          <w:szCs w:val="20"/>
        </w:rPr>
        <w:t>但需</w:t>
      </w:r>
      <w:r w:rsidRPr="003A6449">
        <w:rPr>
          <w:rFonts w:ascii="標楷體" w:eastAsia="標楷體" w:hAnsi="標楷體"/>
          <w:snapToGrid w:val="0"/>
          <w:kern w:val="0"/>
          <w:sz w:val="20"/>
          <w:szCs w:val="20"/>
        </w:rPr>
        <w:t>小於總熱量的10%為原則。</w:t>
      </w:r>
    </w:p>
    <w:p w:rsidR="001427AC" w:rsidRPr="003A6449" w:rsidRDefault="001427AC" w:rsidP="003A6449">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ab/>
      </w:r>
      <w:r w:rsidRPr="003A6449">
        <w:rPr>
          <w:rFonts w:ascii="標楷體" w:eastAsia="標楷體" w:hAnsi="標楷體"/>
          <w:snapToGrid w:val="0"/>
          <w:kern w:val="0"/>
          <w:sz w:val="20"/>
          <w:szCs w:val="20"/>
        </w:rPr>
        <w:t>每日纖維質建議攝取量為</w:t>
      </w:r>
      <w:r w:rsidRPr="003A6449">
        <w:rPr>
          <w:rFonts w:ascii="標楷體" w:eastAsia="標楷體" w:hAnsi="標楷體"/>
          <w:b/>
          <w:snapToGrid w:val="0"/>
          <w:kern w:val="0"/>
          <w:sz w:val="20"/>
          <w:szCs w:val="20"/>
        </w:rPr>
        <w:t>20</w:t>
      </w:r>
      <w:r w:rsidRPr="003A6449">
        <w:rPr>
          <w:rFonts w:ascii="標楷體" w:eastAsia="標楷體" w:hAnsi="標楷體"/>
          <w:snapToGrid w:val="0"/>
          <w:kern w:val="0"/>
          <w:sz w:val="20"/>
          <w:szCs w:val="20"/>
        </w:rPr>
        <w:t>～</w:t>
      </w:r>
      <w:r w:rsidRPr="003A6449">
        <w:rPr>
          <w:rFonts w:ascii="標楷體" w:eastAsia="標楷體" w:hAnsi="標楷體"/>
          <w:b/>
          <w:snapToGrid w:val="0"/>
          <w:kern w:val="0"/>
          <w:sz w:val="20"/>
          <w:szCs w:val="20"/>
        </w:rPr>
        <w:t>35</w:t>
      </w:r>
      <w:r w:rsidRPr="003A6449">
        <w:rPr>
          <w:rFonts w:ascii="標楷體" w:eastAsia="標楷體" w:hAnsi="標楷體"/>
          <w:snapToGrid w:val="0"/>
          <w:kern w:val="0"/>
          <w:sz w:val="20"/>
          <w:szCs w:val="20"/>
        </w:rPr>
        <w:t>公克；可多選用富含可溶性纖維質的食物（註</w:t>
      </w:r>
      <w:r w:rsidR="003A6449">
        <w:rPr>
          <w:rFonts w:ascii="標楷體" w:eastAsia="標楷體" w:hAnsi="標楷體" w:hint="eastAsia"/>
          <w:snapToGrid w:val="0"/>
          <w:kern w:val="0"/>
          <w:sz w:val="20"/>
          <w:szCs w:val="20"/>
        </w:rPr>
        <w:t>2</w:t>
      </w:r>
      <w:r w:rsidRPr="003A6449">
        <w:rPr>
          <w:rFonts w:ascii="標楷體" w:eastAsia="標楷體" w:hAnsi="標楷體"/>
          <w:snapToGrid w:val="0"/>
          <w:kern w:val="0"/>
          <w:sz w:val="20"/>
          <w:szCs w:val="20"/>
        </w:rPr>
        <w:t>）。一般來說，可溶性纖維質對血糖控制的輔助效果在第</w:t>
      </w:r>
      <w:r w:rsidRPr="003A6449">
        <w:rPr>
          <w:rFonts w:ascii="標楷體" w:eastAsia="標楷體" w:hAnsi="標楷體"/>
          <w:b/>
          <w:snapToGrid w:val="0"/>
          <w:kern w:val="0"/>
          <w:sz w:val="20"/>
          <w:szCs w:val="20"/>
        </w:rPr>
        <w:t>2</w:t>
      </w:r>
      <w:r w:rsidRPr="003A6449">
        <w:rPr>
          <w:rFonts w:ascii="標楷體" w:eastAsia="標楷體" w:hAnsi="標楷體"/>
          <w:snapToGrid w:val="0"/>
          <w:kern w:val="0"/>
          <w:sz w:val="20"/>
          <w:szCs w:val="20"/>
        </w:rPr>
        <w:t>型糖尿病較明顯，在第</w:t>
      </w:r>
      <w:r w:rsidRPr="003A6449">
        <w:rPr>
          <w:rFonts w:ascii="標楷體" w:eastAsia="標楷體" w:hAnsi="標楷體"/>
          <w:b/>
          <w:snapToGrid w:val="0"/>
          <w:kern w:val="0"/>
          <w:sz w:val="20"/>
          <w:szCs w:val="20"/>
        </w:rPr>
        <w:t>1</w:t>
      </w:r>
      <w:r w:rsidRPr="003A6449">
        <w:rPr>
          <w:rFonts w:ascii="標楷體" w:eastAsia="標楷體" w:hAnsi="標楷體"/>
          <w:snapToGrid w:val="0"/>
          <w:kern w:val="0"/>
          <w:sz w:val="20"/>
          <w:szCs w:val="20"/>
        </w:rPr>
        <w:t>型糖尿病效果則較不明顯。但家長仍應幫助糖尿病童養成吃蔬菜及適量水果的習慣。</w:t>
      </w:r>
    </w:p>
    <w:p w:rsidR="001427AC" w:rsidRPr="003A6449" w:rsidRDefault="001427AC" w:rsidP="003A6449">
      <w:pPr>
        <w:adjustRightInd w:val="0"/>
        <w:snapToGrid w:val="0"/>
        <w:spacing w:line="4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＜註</w:t>
      </w:r>
      <w:r w:rsidR="003A6449">
        <w:rPr>
          <w:rFonts w:ascii="標楷體" w:eastAsia="標楷體" w:hAnsi="標楷體" w:hint="eastAsia"/>
          <w:snapToGrid w:val="0"/>
          <w:kern w:val="0"/>
          <w:sz w:val="20"/>
          <w:szCs w:val="20"/>
        </w:rPr>
        <w:t>2</w:t>
      </w:r>
      <w:r w:rsidRPr="003A6449">
        <w:rPr>
          <w:rFonts w:ascii="標楷體" w:eastAsia="標楷體" w:hAnsi="標楷體"/>
          <w:snapToGrid w:val="0"/>
          <w:kern w:val="0"/>
          <w:sz w:val="20"/>
          <w:szCs w:val="20"/>
        </w:rPr>
        <w:t>＞：纖維可以分為可溶性和不可溶性兩類。</w:t>
      </w:r>
      <w:bookmarkEnd w:id="0"/>
      <w:r w:rsidRPr="003A6449">
        <w:rPr>
          <w:rFonts w:ascii="標楷體" w:eastAsia="標楷體" w:hAnsi="標楷體"/>
          <w:snapToGrid w:val="0"/>
          <w:kern w:val="0"/>
          <w:sz w:val="20"/>
          <w:szCs w:val="20"/>
        </w:rPr>
        <w:t>可溶性纖維包括果膠、樹膠、</w:t>
      </w:r>
      <w:r w:rsidRPr="003A6449">
        <w:rPr>
          <w:rFonts w:ascii="標楷體" w:eastAsia="標楷體" w:hAnsi="標楷體" w:hint="eastAsia"/>
          <w:snapToGrid w:val="0"/>
          <w:kern w:val="0"/>
          <w:sz w:val="20"/>
          <w:szCs w:val="20"/>
        </w:rPr>
        <w:t xml:space="preserve">       </w:t>
      </w:r>
    </w:p>
    <w:p w:rsidR="001427AC" w:rsidRPr="003A6449" w:rsidRDefault="001427AC" w:rsidP="003A6449">
      <w:pPr>
        <w:adjustRightInd w:val="0"/>
        <w:snapToGrid w:val="0"/>
        <w:spacing w:line="4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植物膠質和海藻多醣體。穀類外殼、水果和蔬菜的表皮都有不可溶</w:t>
      </w:r>
    </w:p>
    <w:p w:rsidR="001427AC" w:rsidRPr="003A6449" w:rsidRDefault="001427AC" w:rsidP="003A6449">
      <w:pPr>
        <w:tabs>
          <w:tab w:val="left" w:pos="7993"/>
        </w:tabs>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性纖維</w:t>
      </w:r>
      <w:r w:rsidRPr="003A6449">
        <w:rPr>
          <w:rFonts w:ascii="標楷體" w:eastAsia="標楷體" w:hAnsi="標楷體" w:hint="eastAsia"/>
          <w:snapToGrid w:val="0"/>
          <w:kern w:val="0"/>
          <w:sz w:val="20"/>
          <w:szCs w:val="20"/>
        </w:rPr>
        <w:t>。(一般對於纖維質的建議攝取量是指每日總量，並不會特別只</w:t>
      </w:r>
    </w:p>
    <w:p w:rsidR="001427AC" w:rsidRPr="003A6449" w:rsidRDefault="001427AC" w:rsidP="003A6449">
      <w:pPr>
        <w:tabs>
          <w:tab w:val="left" w:pos="7993"/>
        </w:tabs>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針對某一種，因為各有優點且通常兩種會同時存在，只是比例不同。</w:t>
      </w:r>
    </w:p>
    <w:p w:rsidR="001427AC" w:rsidRPr="003A6449" w:rsidRDefault="001427AC" w:rsidP="003A6449">
      <w:pPr>
        <w:tabs>
          <w:tab w:val="left" w:pos="7993"/>
        </w:tabs>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此外，因為水果含有較高的糖份，需要積極控制份量以維持血糖穩定)</w:t>
      </w:r>
    </w:p>
    <w:p w:rsidR="001427AC" w:rsidRPr="003A6449" w:rsidRDefault="001427AC" w:rsidP="003A6449">
      <w:pPr>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雖然食用低升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指數的食物（註</w:t>
      </w:r>
      <w:r w:rsidR="003A6449">
        <w:rPr>
          <w:rFonts w:ascii="標楷體" w:eastAsia="標楷體" w:hAnsi="標楷體" w:hint="eastAsia"/>
          <w:snapToGrid w:val="0"/>
          <w:kern w:val="0"/>
          <w:sz w:val="20"/>
          <w:szCs w:val="20"/>
        </w:rPr>
        <w:t>1</w:t>
      </w:r>
      <w:r w:rsidRPr="003A6449">
        <w:rPr>
          <w:rFonts w:ascii="標楷體" w:eastAsia="標楷體" w:hAnsi="標楷體"/>
          <w:snapToGrid w:val="0"/>
          <w:kern w:val="0"/>
          <w:sz w:val="20"/>
          <w:szCs w:val="20"/>
        </w:rPr>
        <w:t>），會改善飯後高血糖現象，但不建議只吃低升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指數的食物，因為有很多的因素會影響食物的升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效果，包括碳水化合物的份量、糖的種類(葡萄糖、果糖、蔗糖、乳糖)、澱粉的性質(直鏈澱粉、枝鏈澱粉、抗性澱粉resistant starch)</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烹調方法與烹煮時間長短則會影響澱粉糊化程度、食物的形狀</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顆粒大小還有食物的其他成份(例如：油脂會延緩消化速度)，都會影響食物的升糖反應。一餐之中，建議包含多樣化的食物，以降低整餐的升糖指數，達到穩定血糖的效果。含天然的抗性澱粉(玉米澱粉)或經技術改良成含較多抗性澱粉(高直鏈玉米澱粉)的食品（註</w:t>
      </w:r>
      <w:r w:rsidR="003A6449">
        <w:rPr>
          <w:rFonts w:ascii="標楷體" w:eastAsia="標楷體" w:hAnsi="標楷體" w:hint="eastAsia"/>
          <w:snapToGrid w:val="0"/>
          <w:kern w:val="0"/>
          <w:sz w:val="20"/>
          <w:szCs w:val="20"/>
        </w:rPr>
        <w:t>3</w:t>
      </w:r>
      <w:r w:rsidRPr="003A6449">
        <w:rPr>
          <w:rFonts w:ascii="標楷體" w:eastAsia="標楷體" w:hAnsi="標楷體"/>
          <w:snapToGrid w:val="0"/>
          <w:kern w:val="0"/>
          <w:sz w:val="20"/>
          <w:szCs w:val="20"/>
        </w:rPr>
        <w:t>），可改善飯後血糖反應、預防低血糖，及降低高血糖。</w:t>
      </w:r>
    </w:p>
    <w:p w:rsidR="001427AC" w:rsidRPr="003A6449" w:rsidRDefault="001427AC" w:rsidP="00554293">
      <w:pPr>
        <w:snapToGrid w:val="0"/>
        <w:spacing w:beforeLines="50" w:before="163" w:line="400" w:lineRule="exact"/>
        <w:ind w:leftChars="166" w:left="1266" w:hangingChars="434" w:hanging="868"/>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＜註</w:t>
      </w:r>
      <w:r w:rsidR="003A6449">
        <w:rPr>
          <w:rFonts w:ascii="標楷體" w:eastAsia="標楷體" w:hAnsi="標楷體" w:hint="eastAsia"/>
          <w:snapToGrid w:val="0"/>
          <w:kern w:val="0"/>
          <w:sz w:val="20"/>
          <w:szCs w:val="20"/>
        </w:rPr>
        <w:t>3</w:t>
      </w:r>
      <w:r w:rsidRPr="003A6449">
        <w:rPr>
          <w:rFonts w:ascii="標楷體" w:eastAsia="標楷體" w:hAnsi="標楷體"/>
          <w:snapToGrid w:val="0"/>
          <w:kern w:val="0"/>
          <w:sz w:val="20"/>
          <w:szCs w:val="20"/>
        </w:rPr>
        <w:t>＞：抗性澱粉是一種經過修正的成分，天然食物中很少存在，但諸如四季豆、敏豆等夾豆類都存有此成分。抗性澱粉可讓碳水化合物緩慢吸收，約可讓血糖在三到四小時內緩慢上升，抗性澱粉並非阻止碳水化合物的吸收，而是讓吸收速度變緩慢。</w:t>
      </w:r>
    </w:p>
    <w:p w:rsidR="001427AC" w:rsidRPr="003A6449" w:rsidRDefault="001427AC" w:rsidP="00554293">
      <w:pPr>
        <w:snapToGrid w:val="0"/>
        <w:spacing w:beforeLines="50" w:before="163"/>
        <w:ind w:leftChars="355" w:left="1092" w:hangingChars="120" w:hanging="240"/>
        <w:jc w:val="center"/>
        <w:rPr>
          <w:rFonts w:ascii="標楷體" w:eastAsia="標楷體" w:hAnsi="標楷體"/>
          <w:snapToGrid w:val="0"/>
          <w:kern w:val="0"/>
          <w:sz w:val="20"/>
          <w:szCs w:val="20"/>
        </w:rPr>
      </w:pPr>
    </w:p>
    <w:p w:rsidR="001427AC" w:rsidRPr="003A6449" w:rsidRDefault="003A6449" w:rsidP="00554293">
      <w:pPr>
        <w:snapToGrid w:val="0"/>
        <w:spacing w:beforeLines="50" w:before="163"/>
        <w:ind w:leftChars="355" w:left="1092" w:hangingChars="120" w:hanging="240"/>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t>表一</w:t>
      </w:r>
      <w:r w:rsidR="001427AC" w:rsidRPr="003A6449">
        <w:rPr>
          <w:rFonts w:ascii="標楷體" w:eastAsia="標楷體" w:hAnsi="標楷體" w:hint="eastAsia"/>
          <w:snapToGrid w:val="0"/>
          <w:kern w:val="0"/>
          <w:sz w:val="20"/>
          <w:szCs w:val="20"/>
        </w:rPr>
        <w:t>：</w:t>
      </w:r>
      <w:r w:rsidR="001427AC" w:rsidRPr="003A6449">
        <w:rPr>
          <w:rFonts w:ascii="標楷體" w:eastAsia="標楷體" w:hAnsi="標楷體"/>
          <w:snapToGrid w:val="0"/>
          <w:kern w:val="0"/>
          <w:sz w:val="20"/>
          <w:szCs w:val="20"/>
        </w:rPr>
        <w:t>一些常用食物的升糖指數(Glycemic index):以麵包為對照標準</w:t>
      </w:r>
    </w:p>
    <w:p w:rsidR="001427AC" w:rsidRPr="003A6449" w:rsidRDefault="001427AC" w:rsidP="003A6449">
      <w:pPr>
        <w:snapToGrid w:val="0"/>
        <w:spacing w:line="400" w:lineRule="exact"/>
        <w:ind w:leftChars="166" w:left="1198" w:hangingChars="400" w:hanging="800"/>
        <w:jc w:val="center"/>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升</w:t>
      </w:r>
      <w:r w:rsidRPr="003A6449">
        <w:rPr>
          <w:rFonts w:ascii="標楷體" w:eastAsia="標楷體" w:hAnsi="標楷體" w:hint="eastAsia"/>
          <w:snapToGrid w:val="0"/>
          <w:kern w:val="0"/>
          <w:sz w:val="20"/>
          <w:szCs w:val="20"/>
        </w:rPr>
        <w:t>糖</w:t>
      </w:r>
      <w:r w:rsidRPr="003A6449">
        <w:rPr>
          <w:rFonts w:ascii="標楷體" w:eastAsia="標楷體" w:hAnsi="標楷體"/>
          <w:snapToGrid w:val="0"/>
          <w:kern w:val="0"/>
          <w:sz w:val="20"/>
          <w:szCs w:val="20"/>
        </w:rPr>
        <w:t>指數</w:t>
      </w:r>
      <w:r w:rsidRPr="003A6449">
        <w:rPr>
          <w:rFonts w:ascii="標楷體" w:eastAsia="標楷體" w:hAnsi="標楷體" w:hint="eastAsia"/>
          <w:snapToGrid w:val="0"/>
          <w:kern w:val="0"/>
          <w:sz w:val="20"/>
          <w:szCs w:val="20"/>
        </w:rPr>
        <w:t>愈高</w:t>
      </w:r>
      <w:r w:rsidRPr="003A6449">
        <w:rPr>
          <w:rFonts w:ascii="標楷體" w:eastAsia="標楷體" w:hAnsi="標楷體"/>
          <w:snapToGrid w:val="0"/>
          <w:kern w:val="0"/>
          <w:sz w:val="20"/>
          <w:szCs w:val="20"/>
        </w:rPr>
        <w:t>的食物，會讓血糖升高</w:t>
      </w:r>
      <w:r w:rsidRPr="003A6449">
        <w:rPr>
          <w:rFonts w:ascii="標楷體" w:eastAsia="標楷體" w:hAnsi="標楷體" w:hint="eastAsia"/>
          <w:snapToGrid w:val="0"/>
          <w:kern w:val="0"/>
          <w:sz w:val="20"/>
          <w:szCs w:val="20"/>
        </w:rPr>
        <w:t>愈快)</w:t>
      </w:r>
    </w:p>
    <w:p w:rsidR="001427AC" w:rsidRPr="003A6449" w:rsidRDefault="001427AC" w:rsidP="00002158">
      <w:pPr>
        <w:widowControl/>
        <w:snapToGrid w:val="0"/>
        <w:jc w:val="center"/>
        <w:rPr>
          <w:rFonts w:ascii="標楷體" w:eastAsia="標楷體" w:hAnsi="標楷體"/>
          <w:snapToGrid w:val="0"/>
          <w:vanish/>
          <w:kern w:val="0"/>
          <w:sz w:val="20"/>
          <w:szCs w:val="20"/>
        </w:rPr>
      </w:pPr>
    </w:p>
    <w:tbl>
      <w:tblPr>
        <w:tblW w:w="0" w:type="auto"/>
        <w:jc w:val="center"/>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1356"/>
        <w:gridCol w:w="838"/>
        <w:gridCol w:w="938"/>
        <w:gridCol w:w="840"/>
        <w:gridCol w:w="1138"/>
        <w:gridCol w:w="838"/>
        <w:gridCol w:w="938"/>
        <w:gridCol w:w="956"/>
      </w:tblGrid>
      <w:tr w:rsidR="001427AC" w:rsidRPr="003A6449" w:rsidTr="007A5D2B">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五穀類</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根莖類</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水果類</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烘培食品</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白米飯</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91 ± 9</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烤馬鈴薯</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85 ± 4</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蘋果</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52 ± 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天使蛋糕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95 ± 7</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糯米飯</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132 ±9</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薯條</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107 ± 6</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杏</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82 ± 3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蛋糕</w:t>
            </w:r>
            <w:r w:rsidRPr="003A6449">
              <w:rPr>
                <w:rFonts w:ascii="標楷體" w:eastAsia="標楷體" w:hAnsi="標楷體"/>
                <w:snapToGrid w:val="0"/>
                <w:kern w:val="0"/>
                <w:sz w:val="20"/>
                <w:szCs w:val="20"/>
              </w:rPr>
              <w:br/>
              <w:t>(蛋糕粉)</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54-60</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速食麵</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67± 2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甘藷</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87 ± 10</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香蕉</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74 ± 5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霜雞蛋糕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104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粉絲</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56 ± 13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芋頭</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79 ± 2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櫻桃</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32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.鬆餅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77 ± 8</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米粉</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61 ± 6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山藥</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53 ± 11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葡萄柚</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36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海棉蛋糕</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66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lastRenderedPageBreak/>
              <w:t>烏龍麵</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79 ±10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萄柚汁</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69 ± 5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甜甜圈</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108 ± 10</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通心粉</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67 ± 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葡萄</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66 ± 4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鬆餅</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7 8± 6</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義大利麵</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60 ± 4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奇異果</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75 ± 8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貝果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103 ± 5</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芒果</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73 ± 8</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甜玉米</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78 ± 6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蔬菜類</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柳橙</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60 ± 5</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全麥早餐榖類</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43 ± 3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豌豆</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68 ± 7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木瓜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84 ± 2</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玉米脆片</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90 ± 15</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胡蘿蔔</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68 ± 23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桃子</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60 ± 20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碳酸飲料</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燕麥片粥</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8 3± 5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菜豆</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39 ± 6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梨子</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47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可口可樂</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83 ± 7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即食麥片粥</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9 4± 1</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扁豆</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41 ± 1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鳳梨</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84 ±11</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芬達汽水</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97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皇帝豆</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46 ± 13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李子</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55 ± 21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乳製品</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大豌豆</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56 ± 12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草莓</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57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零食點心</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冰淇淋</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87 ±10</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綠豆</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76 ± 11</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草莓果醬</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73 ± 14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巧克力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61 ± 4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全脂牛奶</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38 ± 6</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黃豆</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25 ± 4</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西瓜</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103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花生</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47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布丁</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62 ± 5</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蘋果汁</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5 7± 1</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腰果</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31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優格</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51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snapToGrid w:val="0"/>
                <w:kern w:val="0"/>
                <w:sz w:val="20"/>
                <w:szCs w:val="20"/>
              </w:rPr>
              <w:t>糖類</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小紅莓汁</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花生</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21 ± 12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豆奶</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63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果糖</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27 ± 4</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柳橙汁</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7 1± 5</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爆米花</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103 ± 24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葡萄糖</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b/>
                <w:bCs/>
                <w:i/>
                <w:iCs/>
                <w:snapToGrid w:val="0"/>
                <w:kern w:val="0"/>
                <w:sz w:val="20"/>
                <w:szCs w:val="20"/>
              </w:rPr>
              <w:t>141 ± 4</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鳳梨汁無糖</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66 ± 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洋芋片</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77 ± 4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蜂蜜</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78 ± 7</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蕃茄汁無糖</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54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乳糖</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66 ± 3</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蔗糖</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97 ± 7</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r>
      <w:tr w:rsidR="001427AC" w:rsidRPr="003A6449" w:rsidTr="007A5D2B">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木糖醇</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11 ± 1</w:t>
            </w:r>
          </w:p>
        </w:tc>
        <w:tc>
          <w:tcPr>
            <w:tcW w:w="0" w:type="auto"/>
            <w:tcBorders>
              <w:top w:val="outset" w:sz="6" w:space="0" w:color="auto"/>
              <w:left w:val="outset" w:sz="6" w:space="0" w:color="auto"/>
              <w:bottom w:val="outset" w:sz="6" w:space="0" w:color="auto"/>
              <w:right w:val="outset" w:sz="6" w:space="0" w:color="auto"/>
            </w:tcBorders>
            <w:vAlign w:val="center"/>
          </w:tcPr>
          <w:p w:rsidR="001427AC" w:rsidRPr="003A6449" w:rsidRDefault="001427AC" w:rsidP="00002158">
            <w:pPr>
              <w:widowControl/>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 </w:t>
            </w:r>
          </w:p>
        </w:tc>
        <w:tc>
          <w:tcPr>
            <w:tcW w:w="0" w:type="auto"/>
            <w:vAlign w:val="center"/>
          </w:tcPr>
          <w:p w:rsidR="001427AC" w:rsidRPr="003A6449" w:rsidRDefault="001427AC" w:rsidP="00002158">
            <w:pPr>
              <w:widowControl/>
              <w:snapToGrid w:val="0"/>
              <w:rPr>
                <w:rFonts w:ascii="標楷體" w:eastAsia="標楷體" w:hAnsi="標楷體"/>
                <w:snapToGrid w:val="0"/>
                <w:kern w:val="0"/>
                <w:sz w:val="20"/>
                <w:szCs w:val="20"/>
              </w:rPr>
            </w:pPr>
          </w:p>
        </w:tc>
        <w:tc>
          <w:tcPr>
            <w:tcW w:w="0" w:type="auto"/>
            <w:vAlign w:val="center"/>
          </w:tcPr>
          <w:p w:rsidR="001427AC" w:rsidRPr="003A6449" w:rsidRDefault="001427AC" w:rsidP="00002158">
            <w:pPr>
              <w:widowControl/>
              <w:snapToGrid w:val="0"/>
              <w:rPr>
                <w:rFonts w:ascii="標楷體" w:eastAsia="標楷體" w:hAnsi="標楷體"/>
                <w:snapToGrid w:val="0"/>
                <w:kern w:val="0"/>
                <w:sz w:val="20"/>
                <w:szCs w:val="20"/>
              </w:rPr>
            </w:pPr>
          </w:p>
        </w:tc>
        <w:tc>
          <w:tcPr>
            <w:tcW w:w="0" w:type="auto"/>
            <w:vAlign w:val="center"/>
          </w:tcPr>
          <w:p w:rsidR="001427AC" w:rsidRPr="003A6449" w:rsidRDefault="001427AC" w:rsidP="00002158">
            <w:pPr>
              <w:widowControl/>
              <w:snapToGrid w:val="0"/>
              <w:rPr>
                <w:rFonts w:ascii="標楷體" w:eastAsia="標楷體" w:hAnsi="標楷體"/>
                <w:snapToGrid w:val="0"/>
                <w:kern w:val="0"/>
                <w:sz w:val="20"/>
                <w:szCs w:val="20"/>
              </w:rPr>
            </w:pPr>
          </w:p>
        </w:tc>
      </w:tr>
    </w:tbl>
    <w:p w:rsidR="001427AC" w:rsidRPr="003A6449" w:rsidRDefault="001427AC" w:rsidP="00002158">
      <w:pPr>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資料來源：台灣營養學會  營養新知知識庫網頁</w:t>
      </w:r>
    </w:p>
    <w:p w:rsidR="001427AC" w:rsidRPr="003A6449" w:rsidRDefault="001427AC" w:rsidP="00002158">
      <w:pPr>
        <w:snapToGrid w:val="0"/>
        <w:jc w:val="center"/>
        <w:rPr>
          <w:rFonts w:ascii="標楷體" w:eastAsia="標楷體" w:hAnsi="標楷體"/>
          <w:snapToGrid w:val="0"/>
          <w:kern w:val="0"/>
          <w:sz w:val="20"/>
          <w:szCs w:val="20"/>
        </w:rPr>
      </w:pPr>
      <w:r w:rsidRPr="003A6449">
        <w:rPr>
          <w:rFonts w:ascii="標楷體" w:eastAsia="標楷體" w:hAnsi="標楷體"/>
          <w:snapToGrid w:val="0"/>
          <w:kern w:val="0"/>
          <w:sz w:val="20"/>
          <w:szCs w:val="20"/>
        </w:rPr>
        <w:t>http://km.nutrition.org.tw/contentbypermalink/</w:t>
      </w:r>
      <w:smartTag w:uri="urn:schemas-microsoft-com:office:smarttags" w:element="chmetcnv">
        <w:smartTagPr>
          <w:attr w:name="TCSC" w:val="0"/>
          <w:attr w:name="NumberType" w:val="1"/>
          <w:attr w:name="Negative" w:val="False"/>
          <w:attr w:name="HasSpace" w:val="False"/>
          <w:attr w:name="SourceValue" w:val="4"/>
          <w:attr w:name="UnitName" w:val="a"/>
        </w:smartTagPr>
        <w:r w:rsidRPr="003A6449">
          <w:rPr>
            <w:rFonts w:ascii="標楷體" w:eastAsia="標楷體" w:hAnsi="標楷體"/>
            <w:snapToGrid w:val="0"/>
            <w:kern w:val="0"/>
            <w:sz w:val="20"/>
            <w:szCs w:val="20"/>
          </w:rPr>
          <w:t>4a</w:t>
        </w:r>
      </w:smartTag>
      <w:r w:rsidRPr="003A6449">
        <w:rPr>
          <w:rFonts w:ascii="標楷體" w:eastAsia="標楷體" w:hAnsi="標楷體"/>
          <w:snapToGrid w:val="0"/>
          <w:kern w:val="0"/>
          <w:sz w:val="20"/>
          <w:szCs w:val="20"/>
        </w:rPr>
        <w:t>6acb06ebdf</w:t>
      </w:r>
      <w:smartTag w:uri="urn:schemas-microsoft-com:office:smarttags" w:element="chmetcnv">
        <w:smartTagPr>
          <w:attr w:name="TCSC" w:val="0"/>
          <w:attr w:name="NumberType" w:val="1"/>
          <w:attr w:name="Negative" w:val="False"/>
          <w:attr w:name="HasSpace" w:val="False"/>
          <w:attr w:name="SourceValue" w:val="8"/>
          <w:attr w:name="UnitName" w:val="C"/>
        </w:smartTagPr>
        <w:r w:rsidRPr="003A6449">
          <w:rPr>
            <w:rFonts w:ascii="標楷體" w:eastAsia="標楷體" w:hAnsi="標楷體"/>
            <w:snapToGrid w:val="0"/>
            <w:kern w:val="0"/>
            <w:sz w:val="20"/>
            <w:szCs w:val="20"/>
          </w:rPr>
          <w:t>8c</w:t>
        </w:r>
      </w:smartTag>
      <w:r w:rsidRPr="003A6449">
        <w:rPr>
          <w:rFonts w:ascii="標楷體" w:eastAsia="標楷體" w:hAnsi="標楷體"/>
          <w:snapToGrid w:val="0"/>
          <w:kern w:val="0"/>
          <w:sz w:val="20"/>
          <w:szCs w:val="20"/>
        </w:rPr>
        <w:t>5848256e2e</w:t>
      </w:r>
      <w:smartTag w:uri="urn:schemas-microsoft-com:office:smarttags" w:element="chmetcnv">
        <w:smartTagPr>
          <w:attr w:name="TCSC" w:val="0"/>
          <w:attr w:name="NumberType" w:val="1"/>
          <w:attr w:name="Negative" w:val="False"/>
          <w:attr w:name="HasSpace" w:val="False"/>
          <w:attr w:name="SourceValue" w:val="0"/>
          <w:attr w:name="UnitName" w:val="F"/>
        </w:smartTagPr>
        <w:r w:rsidRPr="003A6449">
          <w:rPr>
            <w:rFonts w:ascii="標楷體" w:eastAsia="標楷體" w:hAnsi="標楷體"/>
            <w:snapToGrid w:val="0"/>
            <w:kern w:val="0"/>
            <w:sz w:val="20"/>
            <w:szCs w:val="20"/>
          </w:rPr>
          <w:t>000f</w:t>
        </w:r>
      </w:smartTag>
      <w:r w:rsidRPr="003A6449">
        <w:rPr>
          <w:rFonts w:ascii="標楷體" w:eastAsia="標楷體" w:hAnsi="標楷體"/>
          <w:snapToGrid w:val="0"/>
          <w:kern w:val="0"/>
          <w:sz w:val="20"/>
          <w:szCs w:val="20"/>
        </w:rPr>
        <w:t>7585</w:t>
      </w:r>
    </w:p>
    <w:p w:rsidR="001427AC" w:rsidRPr="003A6449" w:rsidRDefault="001427AC" w:rsidP="00554293">
      <w:pPr>
        <w:snapToGrid w:val="0"/>
        <w:spacing w:beforeLines="50" w:before="163"/>
        <w:ind w:leftChars="166" w:left="1198" w:hangingChars="400" w:hanging="8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 </w:t>
      </w:r>
    </w:p>
    <w:p w:rsidR="001427AC" w:rsidRPr="003A6449" w:rsidRDefault="001427AC" w:rsidP="003A6449">
      <w:pPr>
        <w:autoSpaceDE w:val="0"/>
        <w:autoSpaceDN w:val="0"/>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糖尿病的患者和孕婦，</w:t>
      </w:r>
      <w:r w:rsidRPr="003A6449">
        <w:rPr>
          <w:rFonts w:ascii="標楷體" w:eastAsia="標楷體" w:hAnsi="標楷體" w:hint="eastAsia"/>
          <w:snapToGrid w:val="0"/>
          <w:kern w:val="0"/>
          <w:sz w:val="20"/>
          <w:szCs w:val="20"/>
        </w:rPr>
        <w:t>可</w:t>
      </w:r>
      <w:r w:rsidRPr="003A6449">
        <w:rPr>
          <w:rFonts w:ascii="標楷體" w:eastAsia="標楷體" w:hAnsi="標楷體"/>
          <w:snapToGrid w:val="0"/>
          <w:kern w:val="0"/>
          <w:sz w:val="20"/>
          <w:szCs w:val="20"/>
        </w:rPr>
        <w:t>使用</w:t>
      </w:r>
      <w:r w:rsidRPr="003A6449">
        <w:rPr>
          <w:rFonts w:ascii="標楷體" w:eastAsia="標楷體" w:hAnsi="標楷體" w:hint="eastAsia"/>
          <w:snapToGrid w:val="0"/>
          <w:kern w:val="0"/>
          <w:sz w:val="20"/>
          <w:szCs w:val="20"/>
        </w:rPr>
        <w:t>的</w:t>
      </w:r>
      <w:r w:rsidRPr="003A6449">
        <w:rPr>
          <w:rFonts w:ascii="標楷體" w:eastAsia="標楷體" w:hAnsi="標楷體"/>
          <w:snapToGrid w:val="0"/>
          <w:kern w:val="0"/>
          <w:sz w:val="20"/>
          <w:szCs w:val="20"/>
        </w:rPr>
        <w:t xml:space="preserve">非營養性的甜味劑：阿斯巴甜(aspartame) </w:t>
      </w:r>
      <w:r w:rsidRPr="003A6449">
        <w:rPr>
          <w:rFonts w:ascii="標楷體" w:eastAsia="標楷體" w:hAnsi="標楷體"/>
          <w:snapToGrid w:val="0"/>
          <w:kern w:val="0"/>
          <w:sz w:val="20"/>
          <w:szCs w:val="20"/>
        </w:rPr>
        <w:sym w:font="Symbol" w:char="F02D"/>
      </w:r>
      <w:r w:rsidRPr="003A6449">
        <w:rPr>
          <w:rFonts w:ascii="標楷體" w:eastAsia="標楷體" w:hAnsi="標楷體"/>
          <w:snapToGrid w:val="0"/>
          <w:kern w:val="0"/>
          <w:sz w:val="20"/>
          <w:szCs w:val="20"/>
        </w:rPr>
        <w:sym w:font="Symbol" w:char="F02D"/>
      </w:r>
      <w:r w:rsidRPr="003A6449">
        <w:rPr>
          <w:rFonts w:ascii="標楷體" w:eastAsia="標楷體" w:hAnsi="標楷體"/>
          <w:snapToGrid w:val="0"/>
          <w:kern w:val="0"/>
          <w:sz w:val="20"/>
          <w:szCs w:val="20"/>
        </w:rPr>
        <w:t>每日攝取安全容許量(acceptable daily intake; ADI)是50毫克/公斤/天，醋磺內酯鉀(acesulfame potassium)</w:t>
      </w:r>
      <w:r w:rsidRPr="003A6449">
        <w:rPr>
          <w:rFonts w:ascii="標楷體" w:eastAsia="標楷體" w:hAnsi="標楷體" w:hint="eastAsia"/>
          <w:snapToGrid w:val="0"/>
          <w:kern w:val="0"/>
          <w:sz w:val="20"/>
          <w:szCs w:val="20"/>
        </w:rPr>
        <w:t>的</w:t>
      </w:r>
      <w:r w:rsidRPr="003A6449">
        <w:rPr>
          <w:rFonts w:ascii="標楷體" w:eastAsia="標楷體" w:hAnsi="標楷體"/>
          <w:snapToGrid w:val="0"/>
          <w:kern w:val="0"/>
          <w:sz w:val="20"/>
          <w:szCs w:val="20"/>
        </w:rPr>
        <w:t>ADI是15毫克/公斤/天，蔗糖素(sucralose)ADI是5毫克/公斤/天。一般而言，非營養甜味劑若適量使用，在安全容許量範圍內，不太會超過安全容許量，是安全的！不須過度緊張！</w:t>
      </w:r>
    </w:p>
    <w:p w:rsidR="001427AC" w:rsidRPr="003A6449" w:rsidRDefault="001427AC" w:rsidP="00554293">
      <w:pPr>
        <w:adjustRightInd w:val="0"/>
        <w:snapToGrid w:val="0"/>
        <w:spacing w:beforeLines="50" w:before="163"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3.</w:t>
      </w:r>
      <w:r w:rsidRPr="003A6449">
        <w:rPr>
          <w:rFonts w:ascii="標楷體" w:eastAsia="標楷體" w:hAnsi="標楷體"/>
          <w:snapToGrid w:val="0"/>
          <w:kern w:val="0"/>
          <w:sz w:val="20"/>
          <w:szCs w:val="20"/>
        </w:rPr>
        <w:t>蛋白質</w:t>
      </w:r>
    </w:p>
    <w:p w:rsidR="001427AC" w:rsidRPr="003A6449" w:rsidRDefault="001427AC" w:rsidP="003A6449">
      <w:pPr>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約占每日總熱量的10-20%（歐洲糖尿病政策建議量為15%），或每天每公斤體重0.8至1.0公克；在第1型糖尿病患者接受傳統的胰島素治療，短期研究顯示蛋白質的代謝增加，顯示需要足量的蛋白質來維持血糖的恆定。如有腎功能衰退時，則限制為0.6公克/公斤/天（例如: </w:t>
      </w:r>
      <w:smartTag w:uri="urn:schemas-microsoft-com:office:smarttags" w:element="chmetcnv">
        <w:smartTagPr>
          <w:attr w:name="UnitName" w:val="公斤"/>
          <w:attr w:name="SourceValue" w:val="50"/>
          <w:attr w:name="HasSpace" w:val="False"/>
          <w:attr w:name="Negative" w:val="False"/>
          <w:attr w:name="NumberType" w:val="1"/>
          <w:attr w:name="TCSC" w:val="0"/>
        </w:smartTagPr>
        <w:r w:rsidRPr="003A6449">
          <w:rPr>
            <w:rFonts w:ascii="標楷體" w:eastAsia="標楷體" w:hAnsi="標楷體"/>
            <w:snapToGrid w:val="0"/>
            <w:kern w:val="0"/>
            <w:sz w:val="20"/>
            <w:szCs w:val="20"/>
          </w:rPr>
          <w:t>50公斤</w:t>
        </w:r>
      </w:smartTag>
      <w:r w:rsidRPr="003A6449">
        <w:rPr>
          <w:rFonts w:ascii="標楷體" w:eastAsia="標楷體" w:hAnsi="標楷體"/>
          <w:snapToGrid w:val="0"/>
          <w:kern w:val="0"/>
          <w:sz w:val="20"/>
          <w:szCs w:val="20"/>
        </w:rPr>
        <w:t>的人每天需要的蛋白質為 50*0.6= 30公克，扣除主食類—例如米飯，每天只能吃約3份肉類</w:t>
      </w:r>
      <w:r w:rsidRPr="003A6449">
        <w:rPr>
          <w:rFonts w:ascii="標楷體" w:eastAsia="標楷體" w:hAnsi="標楷體" w:hint="eastAsia"/>
          <w:snapToGrid w:val="0"/>
          <w:kern w:val="0"/>
          <w:sz w:val="20"/>
          <w:szCs w:val="20"/>
        </w:rPr>
        <w:t>(1份肉類約含7公克的蛋白質)</w:t>
      </w:r>
      <w:r w:rsidRPr="003A6449">
        <w:rPr>
          <w:rFonts w:ascii="標楷體" w:eastAsia="標楷體" w:hAnsi="標楷體"/>
          <w:snapToGrid w:val="0"/>
          <w:kern w:val="0"/>
          <w:sz w:val="20"/>
          <w:szCs w:val="20"/>
        </w:rPr>
        <w:t>，約占每日總熱量的10%。夜</w:t>
      </w:r>
      <w:r w:rsidRPr="003A6449">
        <w:rPr>
          <w:rFonts w:ascii="標楷體" w:eastAsia="標楷體" w:hAnsi="標楷體" w:hint="eastAsia"/>
          <w:snapToGrid w:val="0"/>
          <w:kern w:val="0"/>
          <w:sz w:val="20"/>
          <w:szCs w:val="20"/>
        </w:rPr>
        <w:t>間</w:t>
      </w:r>
      <w:r w:rsidRPr="003A6449">
        <w:rPr>
          <w:rFonts w:ascii="標楷體" w:eastAsia="標楷體" w:hAnsi="標楷體"/>
          <w:snapToGrid w:val="0"/>
          <w:kern w:val="0"/>
          <w:sz w:val="20"/>
          <w:szCs w:val="20"/>
        </w:rPr>
        <w:t>應供應含蛋白質的點心，以維持夜間時的血糖濃度於理想範</w:t>
      </w:r>
      <w:r w:rsidRPr="003A6449">
        <w:rPr>
          <w:rFonts w:ascii="標楷體" w:eastAsia="標楷體" w:hAnsi="標楷體"/>
          <w:snapToGrid w:val="0"/>
          <w:kern w:val="0"/>
          <w:sz w:val="20"/>
          <w:szCs w:val="20"/>
        </w:rPr>
        <w:lastRenderedPageBreak/>
        <w:t>圍。</w:t>
      </w:r>
    </w:p>
    <w:p w:rsidR="001427AC" w:rsidRPr="003A6449" w:rsidRDefault="001427AC" w:rsidP="00554293">
      <w:pPr>
        <w:adjustRightInd w:val="0"/>
        <w:snapToGrid w:val="0"/>
        <w:spacing w:beforeLines="50" w:before="163"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4.</w:t>
      </w:r>
      <w:r w:rsidRPr="003A6449">
        <w:rPr>
          <w:rFonts w:ascii="標楷體" w:eastAsia="標楷體" w:hAnsi="標楷體"/>
          <w:snapToGrid w:val="0"/>
          <w:kern w:val="0"/>
          <w:sz w:val="20"/>
          <w:szCs w:val="20"/>
        </w:rPr>
        <w:t>脂肪</w:t>
      </w:r>
    </w:p>
    <w:p w:rsidR="001427AC" w:rsidRPr="003A6449" w:rsidRDefault="001427AC" w:rsidP="003A6449">
      <w:pPr>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依照建議，80-90%總熱量由飲食中的脂肪及碳水化合物來分配。飽和脂肪(註</w:t>
      </w:r>
      <w:r w:rsidR="00FF4A47">
        <w:rPr>
          <w:rFonts w:ascii="標楷體" w:eastAsia="標楷體" w:hAnsi="標楷體" w:hint="eastAsia"/>
          <w:snapToGrid w:val="0"/>
          <w:kern w:val="0"/>
          <w:sz w:val="20"/>
          <w:szCs w:val="20"/>
        </w:rPr>
        <w:t>4</w:t>
      </w:r>
      <w:r w:rsidRPr="003A6449">
        <w:rPr>
          <w:rFonts w:ascii="標楷體" w:eastAsia="標楷體" w:hAnsi="標楷體"/>
          <w:snapToGrid w:val="0"/>
          <w:kern w:val="0"/>
          <w:sz w:val="20"/>
          <w:szCs w:val="20"/>
        </w:rPr>
        <w:t>)建議少於10%總熱量，多元不飽和脂肪(註</w:t>
      </w:r>
      <w:r w:rsidR="00FF4A47">
        <w:rPr>
          <w:rFonts w:ascii="標楷體" w:eastAsia="標楷體" w:hAnsi="標楷體" w:hint="eastAsia"/>
          <w:snapToGrid w:val="0"/>
          <w:kern w:val="0"/>
          <w:sz w:val="20"/>
          <w:szCs w:val="20"/>
        </w:rPr>
        <w:t>5</w:t>
      </w:r>
      <w:r w:rsidRPr="003A6449">
        <w:rPr>
          <w:rFonts w:ascii="標楷體" w:eastAsia="標楷體" w:hAnsi="標楷體"/>
          <w:snapToGrid w:val="0"/>
          <w:kern w:val="0"/>
          <w:sz w:val="20"/>
          <w:szCs w:val="20"/>
        </w:rPr>
        <w:t xml:space="preserve">) </w:t>
      </w:r>
      <w:r w:rsidRPr="003A6449">
        <w:rPr>
          <w:rFonts w:ascii="標楷體" w:eastAsia="標楷體" w:hAnsi="標楷體"/>
          <w:snapToGrid w:val="0"/>
          <w:kern w:val="0"/>
          <w:sz w:val="20"/>
          <w:szCs w:val="20"/>
        </w:rPr>
        <w:sym w:font="Symbol" w:char="F0A3"/>
      </w:r>
      <w:r w:rsidRPr="003A6449">
        <w:rPr>
          <w:rFonts w:ascii="標楷體" w:eastAsia="標楷體" w:hAnsi="標楷體"/>
          <w:snapToGrid w:val="0"/>
          <w:kern w:val="0"/>
          <w:sz w:val="20"/>
          <w:szCs w:val="20"/>
        </w:rPr>
        <w:t xml:space="preserve"> 10%總熱量，而剩餘的60-70%總熱量由單元不飽和脂肪(註</w:t>
      </w:r>
      <w:r w:rsidR="00FF4A47">
        <w:rPr>
          <w:rFonts w:ascii="標楷體" w:eastAsia="標楷體" w:hAnsi="標楷體" w:hint="eastAsia"/>
          <w:snapToGrid w:val="0"/>
          <w:kern w:val="0"/>
          <w:sz w:val="20"/>
          <w:szCs w:val="20"/>
        </w:rPr>
        <w:t>5</w:t>
      </w:r>
      <w:r w:rsidRPr="003A6449">
        <w:rPr>
          <w:rFonts w:ascii="標楷體" w:eastAsia="標楷體" w:hAnsi="標楷體"/>
          <w:snapToGrid w:val="0"/>
          <w:kern w:val="0"/>
          <w:sz w:val="20"/>
          <w:szCs w:val="20"/>
        </w:rPr>
        <w:t>)與碳水化合物提供。脂肪攝取量需視個人需求及治療目標而訂定。</w:t>
      </w:r>
    </w:p>
    <w:p w:rsidR="001427AC" w:rsidRPr="003A6449" w:rsidRDefault="001427AC" w:rsidP="003A6449">
      <w:pPr>
        <w:adjustRightInd w:val="0"/>
        <w:snapToGrid w:val="0"/>
        <w:spacing w:line="400" w:lineRule="exact"/>
        <w:ind w:leftChars="166" w:left="1198" w:hangingChars="400" w:hanging="8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＜註</w:t>
      </w:r>
      <w:r w:rsidR="00FF4A47">
        <w:rPr>
          <w:rFonts w:ascii="標楷體" w:eastAsia="標楷體" w:hAnsi="標楷體" w:hint="eastAsia"/>
          <w:snapToGrid w:val="0"/>
          <w:kern w:val="0"/>
          <w:sz w:val="20"/>
          <w:szCs w:val="20"/>
        </w:rPr>
        <w:t>4</w:t>
      </w:r>
      <w:r w:rsidRPr="003A6449">
        <w:rPr>
          <w:rFonts w:ascii="標楷體" w:eastAsia="標楷體" w:hAnsi="標楷體"/>
          <w:snapToGrid w:val="0"/>
          <w:kern w:val="0"/>
          <w:sz w:val="20"/>
          <w:szCs w:val="20"/>
        </w:rPr>
        <w:t>＞：飽和脂肪在室溫下容易凝結成固體。主要源自動物，包括肥肉、皮層、</w:t>
      </w:r>
      <w:r w:rsidRPr="003A6449">
        <w:rPr>
          <w:rFonts w:ascii="標楷體" w:eastAsia="標楷體" w:hAnsi="標楷體" w:hint="eastAsia"/>
          <w:snapToGrid w:val="0"/>
          <w:kern w:val="0"/>
          <w:sz w:val="20"/>
          <w:szCs w:val="20"/>
        </w:rPr>
        <w:t xml:space="preserve"> </w:t>
      </w:r>
    </w:p>
    <w:p w:rsidR="001427AC" w:rsidRPr="003A6449" w:rsidRDefault="001427AC" w:rsidP="00002158">
      <w:pPr>
        <w:adjustRightInd w:val="0"/>
        <w:snapToGrid w:val="0"/>
        <w:spacing w:line="400" w:lineRule="exact"/>
        <w:ind w:leftChars="48" w:left="115"/>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豬油、雞油、牛油、奶油、雪糕、起司等。植物油如棕櫚油、椰子油、</w:t>
      </w:r>
    </w:p>
    <w:p w:rsidR="001427AC" w:rsidRPr="003A6449" w:rsidRDefault="001427AC" w:rsidP="00002158">
      <w:pPr>
        <w:adjustRightInd w:val="0"/>
        <w:snapToGrid w:val="0"/>
        <w:spacing w:line="400" w:lineRule="exact"/>
        <w:ind w:leftChars="48" w:left="115"/>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固體植物牛油等。</w:t>
      </w:r>
    </w:p>
    <w:p w:rsidR="001427AC" w:rsidRPr="003A6449" w:rsidRDefault="001427AC" w:rsidP="00002158">
      <w:pPr>
        <w:pStyle w:val="Web"/>
        <w:snapToGrid w:val="0"/>
        <w:spacing w:before="0" w:beforeAutospacing="0" w:after="0" w:afterAutospacing="0"/>
        <w:ind w:left="360"/>
        <w:rPr>
          <w:rStyle w:val="ab"/>
          <w:rFonts w:ascii="標楷體" w:eastAsia="標楷體" w:hAnsi="標楷體" w:cs="Times New Roman"/>
          <w:snapToGrid w:val="0"/>
          <w:sz w:val="20"/>
          <w:szCs w:val="20"/>
        </w:rPr>
      </w:pPr>
      <w:r w:rsidRPr="003A6449">
        <w:rPr>
          <w:rFonts w:ascii="標楷體" w:eastAsia="標楷體" w:hAnsi="標楷體" w:cs="Times New Roman"/>
          <w:snapToGrid w:val="0"/>
          <w:sz w:val="20"/>
          <w:szCs w:val="20"/>
        </w:rPr>
        <w:t>＜註</w:t>
      </w:r>
      <w:r w:rsidR="00FF4A47">
        <w:rPr>
          <w:rFonts w:ascii="標楷體" w:eastAsia="標楷體" w:hAnsi="標楷體" w:cs="Times New Roman" w:hint="eastAsia"/>
          <w:snapToGrid w:val="0"/>
          <w:sz w:val="20"/>
          <w:szCs w:val="20"/>
        </w:rPr>
        <w:t>5</w:t>
      </w:r>
      <w:r w:rsidRPr="003A6449">
        <w:rPr>
          <w:rFonts w:ascii="標楷體" w:eastAsia="標楷體" w:hAnsi="標楷體" w:cs="Times New Roman"/>
          <w:snapToGrid w:val="0"/>
          <w:sz w:val="20"/>
          <w:szCs w:val="20"/>
        </w:rPr>
        <w:t>＞</w:t>
      </w:r>
      <w:r w:rsidRPr="003A6449">
        <w:rPr>
          <w:rFonts w:ascii="標楷體" w:eastAsia="標楷體" w:hAnsi="標楷體" w:cs="Times New Roman" w:hint="eastAsia"/>
          <w:snapToGrid w:val="0"/>
          <w:sz w:val="20"/>
          <w:szCs w:val="20"/>
        </w:rPr>
        <w:t>：</w:t>
      </w:r>
      <w:r w:rsidRPr="003A6449">
        <w:rPr>
          <w:rStyle w:val="ab"/>
          <w:rFonts w:ascii="標楷體" w:eastAsia="標楷體" w:hAnsi="標楷體" w:cs="Times New Roman"/>
          <w:b w:val="0"/>
          <w:snapToGrid w:val="0"/>
          <w:sz w:val="20"/>
          <w:szCs w:val="20"/>
        </w:rPr>
        <w:t>不飽和脂肪主要源自植物、在正常室溫下成液體狀，基本上可分為:</w:t>
      </w:r>
    </w:p>
    <w:p w:rsidR="001427AC" w:rsidRPr="003A6449" w:rsidRDefault="001427AC" w:rsidP="00002158">
      <w:pPr>
        <w:pStyle w:val="Web"/>
        <w:snapToGrid w:val="0"/>
        <w:spacing w:before="0" w:beforeAutospacing="0" w:after="0" w:afterAutospacing="0"/>
        <w:ind w:left="1054"/>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多</w:t>
      </w:r>
      <w:r w:rsidRPr="003A6449">
        <w:rPr>
          <w:rFonts w:ascii="標楷體" w:eastAsia="標楷體" w:hAnsi="標楷體" w:cs="Times New Roman" w:hint="eastAsia"/>
          <w:snapToGrid w:val="0"/>
          <w:sz w:val="20"/>
          <w:szCs w:val="20"/>
        </w:rPr>
        <w:t>元</w:t>
      </w:r>
      <w:r w:rsidRPr="003A6449">
        <w:rPr>
          <w:rFonts w:ascii="標楷體" w:eastAsia="標楷體" w:hAnsi="標楷體" w:cs="Times New Roman"/>
          <w:snapToGrid w:val="0"/>
          <w:sz w:val="20"/>
          <w:szCs w:val="20"/>
        </w:rPr>
        <w:t>不飽和脂肪-包括粟米油、紅花子油、葵花子油、黃豆油、魚脂</w:t>
      </w:r>
    </w:p>
    <w:p w:rsidR="001427AC" w:rsidRPr="003A6449" w:rsidRDefault="001427AC" w:rsidP="00002158">
      <w:pPr>
        <w:pStyle w:val="Web"/>
        <w:snapToGrid w:val="0"/>
        <w:spacing w:before="0" w:beforeAutospacing="0" w:after="0" w:afterAutospacing="0"/>
        <w:ind w:left="1054"/>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肪、</w:t>
      </w:r>
    </w:p>
    <w:p w:rsidR="001427AC" w:rsidRPr="003A6449" w:rsidRDefault="001427AC" w:rsidP="00002158">
      <w:pPr>
        <w:pStyle w:val="Web"/>
        <w:snapToGrid w:val="0"/>
        <w:spacing w:before="0" w:beforeAutospacing="0" w:after="0" w:afterAutospacing="0"/>
        <w:ind w:left="1054"/>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軟性植物牛油。單</w:t>
      </w:r>
      <w:r w:rsidRPr="003A6449">
        <w:rPr>
          <w:rFonts w:ascii="標楷體" w:eastAsia="標楷體" w:hAnsi="標楷體" w:cs="Times New Roman" w:hint="eastAsia"/>
          <w:snapToGrid w:val="0"/>
          <w:sz w:val="20"/>
          <w:szCs w:val="20"/>
        </w:rPr>
        <w:t>元</w:t>
      </w:r>
      <w:r w:rsidRPr="003A6449">
        <w:rPr>
          <w:rFonts w:ascii="標楷體" w:eastAsia="標楷體" w:hAnsi="標楷體" w:cs="Times New Roman"/>
          <w:snapToGrid w:val="0"/>
          <w:sz w:val="20"/>
          <w:szCs w:val="20"/>
        </w:rPr>
        <w:t>不飽和脂肪-包括芥花籽油、橄欖油、花生油。</w:t>
      </w:r>
    </w:p>
    <w:p w:rsidR="001427AC" w:rsidRPr="003A6449" w:rsidRDefault="001427AC" w:rsidP="00554293">
      <w:pPr>
        <w:adjustRightInd w:val="0"/>
        <w:snapToGrid w:val="0"/>
        <w:spacing w:beforeLines="50" w:before="163"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5.</w:t>
      </w:r>
      <w:r w:rsidRPr="003A6449">
        <w:rPr>
          <w:rFonts w:ascii="標楷體" w:eastAsia="標楷體" w:hAnsi="標楷體"/>
          <w:snapToGrid w:val="0"/>
          <w:kern w:val="0"/>
          <w:sz w:val="20"/>
          <w:szCs w:val="20"/>
        </w:rPr>
        <w:t xml:space="preserve"> 鈉(鹽份)</w:t>
      </w:r>
    </w:p>
    <w:p w:rsidR="001427AC" w:rsidRPr="003A6449" w:rsidRDefault="001427AC" w:rsidP="003A6449">
      <w:pPr>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鹽份方面，依每日飲食建議量或每天小於2400毫克的鈉</w:t>
      </w:r>
      <w:r w:rsidRPr="003A6449">
        <w:rPr>
          <w:rFonts w:ascii="標楷體" w:eastAsia="標楷體" w:hAnsi="標楷體" w:hint="eastAsia"/>
          <w:snapToGrid w:val="0"/>
          <w:kern w:val="0"/>
          <w:sz w:val="20"/>
          <w:szCs w:val="20"/>
        </w:rPr>
        <w:t>（≒1茶匙鹽）</w:t>
      </w:r>
      <w:r w:rsidRPr="003A6449">
        <w:rPr>
          <w:rFonts w:ascii="標楷體" w:eastAsia="標楷體" w:hAnsi="標楷體" w:hint="eastAsia"/>
          <w:b/>
          <w:snapToGrid w:val="0"/>
          <w:kern w:val="0"/>
          <w:sz w:val="20"/>
          <w:szCs w:val="20"/>
        </w:rPr>
        <w:t>，</w:t>
      </w:r>
      <w:r w:rsidRPr="003A6449">
        <w:rPr>
          <w:rFonts w:ascii="標楷體" w:eastAsia="標楷體" w:hAnsi="標楷體"/>
          <w:snapToGrid w:val="0"/>
          <w:kern w:val="0"/>
          <w:sz w:val="20"/>
          <w:szCs w:val="20"/>
        </w:rPr>
        <w:t>扣除天然食物中存在的鈉，實際上可用於烹調用的食鹽要小於5公克；有高血壓及腎病變者，則每天應要小於2000毫克的鈉，同理，扣除天然食物中存在的鈉後，實際上可用於烹調用的食鹽應小於4公克。</w:t>
      </w:r>
    </w:p>
    <w:p w:rsidR="001427AC" w:rsidRPr="003A6449" w:rsidRDefault="001427AC" w:rsidP="00554293">
      <w:pPr>
        <w:adjustRightInd w:val="0"/>
        <w:snapToGrid w:val="0"/>
        <w:spacing w:beforeLines="50" w:before="163"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6.</w:t>
      </w:r>
      <w:r w:rsidRPr="003A6449">
        <w:rPr>
          <w:rFonts w:ascii="標楷體" w:eastAsia="標楷體" w:hAnsi="標楷體"/>
          <w:snapToGrid w:val="0"/>
          <w:kern w:val="0"/>
          <w:sz w:val="20"/>
          <w:szCs w:val="20"/>
        </w:rPr>
        <w:t>維生素/礦物質：(參閱</w:t>
      </w:r>
      <w:r w:rsidR="007A5D2B" w:rsidRPr="003A6449">
        <w:rPr>
          <w:rFonts w:ascii="標楷體" w:eastAsia="標楷體" w:hAnsi="標楷體" w:hint="eastAsia"/>
          <w:snapToGrid w:val="0"/>
          <w:kern w:val="0"/>
          <w:sz w:val="20"/>
          <w:szCs w:val="20"/>
        </w:rPr>
        <w:t>附錄─國人膳食營養素參考攝取量</w:t>
      </w:r>
      <w:r w:rsidRPr="003A6449">
        <w:rPr>
          <w:rFonts w:ascii="標楷體" w:eastAsia="標楷體" w:hAnsi="標楷體"/>
          <w:snapToGrid w:val="0"/>
          <w:kern w:val="0"/>
          <w:sz w:val="20"/>
          <w:szCs w:val="20"/>
        </w:rPr>
        <w:t>)</w:t>
      </w:r>
    </w:p>
    <w:p w:rsidR="001427AC" w:rsidRPr="003A6449" w:rsidRDefault="001427AC" w:rsidP="00554293">
      <w:pPr>
        <w:autoSpaceDE w:val="0"/>
        <w:autoSpaceDN w:val="0"/>
        <w:adjustRightInd w:val="0"/>
        <w:snapToGrid w:val="0"/>
        <w:spacing w:beforeLines="50" w:before="163"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血糖控制不良的糖尿病患者，會伴隨微量營養素缺乏，應予以適當補充維生素與礦物質，且儘可能由天然食物補充維生素和礦物質。</w:t>
      </w:r>
    </w:p>
    <w:p w:rsidR="001427AC" w:rsidRPr="003A6449" w:rsidRDefault="001427AC" w:rsidP="003A6449">
      <w:pPr>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鉀、鎂、鋅、鉻等的缺乏會造成碳水化合物耐量不良的問題。鋅可視成長的需要而適量補充，原則上補充天然食物較好。無足夠的證據預估人類鉻的需要量，因此以平均攝取量做為建議量，男性建議30微克/天，女性</w:t>
      </w:r>
      <w:r w:rsidRPr="003A6449">
        <w:rPr>
          <w:rFonts w:ascii="標楷體" w:eastAsia="標楷體" w:hAnsi="標楷體" w:hint="eastAsia"/>
          <w:snapToGrid w:val="0"/>
          <w:kern w:val="0"/>
          <w:sz w:val="20"/>
          <w:szCs w:val="20"/>
        </w:rPr>
        <w:t>建議20微克/天。 鈣(calcium)則建議每日攝取1000</w:t>
      </w:r>
      <w:r w:rsidRPr="003A6449">
        <w:rPr>
          <w:rFonts w:ascii="標楷體" w:eastAsia="標楷體" w:hAnsi="標楷體"/>
          <w:snapToGrid w:val="0"/>
          <w:kern w:val="0"/>
          <w:sz w:val="20"/>
          <w:szCs w:val="20"/>
        </w:rPr>
        <w:t>-1500毫克。（例如:2-3杯的牛奶含量；1杯</w:t>
      </w:r>
      <w:smartTag w:uri="urn:schemas-microsoft-com:office:smarttags" w:element="chmetcnv">
        <w:smartTagPr>
          <w:attr w:name="TCSC" w:val="0"/>
          <w:attr w:name="NumberType" w:val="1"/>
          <w:attr w:name="Negative" w:val="False"/>
          <w:attr w:name="HasSpace" w:val="False"/>
          <w:attr w:name="SourceValue" w:val="240"/>
          <w:attr w:name="UnitName" w:val="C"/>
        </w:smartTagPr>
        <w:r w:rsidRPr="003A6449">
          <w:rPr>
            <w:rFonts w:ascii="標楷體" w:eastAsia="標楷體" w:hAnsi="標楷體"/>
            <w:snapToGrid w:val="0"/>
            <w:kern w:val="0"/>
            <w:sz w:val="20"/>
            <w:szCs w:val="20"/>
          </w:rPr>
          <w:t>240c</w:t>
        </w:r>
      </w:smartTag>
      <w:r w:rsidRPr="003A6449">
        <w:rPr>
          <w:rFonts w:ascii="標楷體" w:eastAsia="標楷體" w:hAnsi="標楷體"/>
          <w:snapToGrid w:val="0"/>
          <w:kern w:val="0"/>
          <w:sz w:val="20"/>
          <w:szCs w:val="20"/>
        </w:rPr>
        <w:t>c）</w:t>
      </w:r>
    </w:p>
    <w:p w:rsidR="001427AC" w:rsidRPr="003A6449" w:rsidRDefault="001427AC" w:rsidP="003A6449">
      <w:pPr>
        <w:adjustRightInd w:val="0"/>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7.</w:t>
      </w:r>
      <w:r w:rsidRPr="003A6449">
        <w:rPr>
          <w:rFonts w:ascii="標楷體" w:eastAsia="標楷體" w:hAnsi="標楷體"/>
          <w:snapToGrid w:val="0"/>
          <w:kern w:val="0"/>
          <w:sz w:val="20"/>
          <w:szCs w:val="20"/>
        </w:rPr>
        <w:t>酒精</w:t>
      </w:r>
    </w:p>
    <w:p w:rsidR="001427AC" w:rsidRPr="003A6449" w:rsidRDefault="001427AC" w:rsidP="003A6449">
      <w:pPr>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糖尿病患空腹喝酒，易發生低血糖症，故不要空腹喝酒，且攝取要適量，即每天男性喝酒不要超過2個酒精當量，女性不要超過1個酒精當量。</w:t>
      </w:r>
    </w:p>
    <w:p w:rsidR="001427AC" w:rsidRPr="003A6449" w:rsidRDefault="001427AC" w:rsidP="003A6449">
      <w:pPr>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1個酒精當量約相當於啤酒350毫升、紹興酒100毫升、或紅葡萄酒140毫升、白蘭地或威士忌40毫升(一個酒精當量＝2份脂肪代換單位)。</w:t>
      </w:r>
    </w:p>
    <w:p w:rsidR="001427AC" w:rsidRPr="003A6449" w:rsidRDefault="001427AC" w:rsidP="00554293">
      <w:pPr>
        <w:adjustRightInd w:val="0"/>
        <w:snapToGrid w:val="0"/>
        <w:spacing w:beforeLines="50" w:before="163" w:line="500" w:lineRule="exact"/>
        <w:ind w:firstLineChars="200" w:firstLine="400"/>
        <w:jc w:val="both"/>
        <w:rPr>
          <w:rFonts w:ascii="標楷體" w:eastAsia="標楷體" w:hAnsi="標楷體"/>
          <w:snapToGrid w:val="0"/>
          <w:kern w:val="0"/>
          <w:sz w:val="20"/>
          <w:szCs w:val="20"/>
        </w:rPr>
      </w:pPr>
    </w:p>
    <w:p w:rsidR="001427AC" w:rsidRPr="003A6449" w:rsidRDefault="001427AC" w:rsidP="003A6449">
      <w:pPr>
        <w:numPr>
          <w:ilvl w:val="0"/>
          <w:numId w:val="16"/>
        </w:numPr>
        <w:adjustRightInd w:val="0"/>
        <w:snapToGrid w:val="0"/>
        <w:spacing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飲食如何搭配</w:t>
      </w:r>
    </w:p>
    <w:p w:rsidR="001427AC" w:rsidRPr="003A6449" w:rsidRDefault="001427AC" w:rsidP="003A6449">
      <w:pPr>
        <w:pStyle w:val="3"/>
        <w:snapToGrid w:val="0"/>
        <w:spacing w:after="0" w:line="500" w:lineRule="exact"/>
        <w:ind w:leftChars="0" w:left="0"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lastRenderedPageBreak/>
        <w:t>依據「成人均衡飲食建議量」</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每日應攝取「五穀根莖類3～6碗」、「奶類1～2杯」、「蛋豆魚肉類4份」、「蔬菜類3碟」、「水果類2份」、「油脂類2～3湯匙」</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但必須要注意的是「五穀根莖類」是以「碗」為單位，因此要乘以4倍後才等於「食物代換表」中「主食類/碳水化合物」的份量</w:t>
      </w:r>
      <w:r w:rsidRPr="003A6449">
        <w:rPr>
          <w:rFonts w:ascii="標楷體" w:eastAsia="標楷體" w:hAnsi="標楷體" w:hint="eastAsia"/>
          <w:snapToGrid w:val="0"/>
          <w:kern w:val="0"/>
          <w:sz w:val="20"/>
          <w:szCs w:val="20"/>
        </w:rPr>
        <w:t>(</w:t>
      </w:r>
      <w:r w:rsidR="00FF4A47">
        <w:rPr>
          <w:rFonts w:ascii="標楷體" w:eastAsia="標楷體" w:hAnsi="標楷體" w:hint="eastAsia"/>
          <w:snapToGrid w:val="0"/>
          <w:kern w:val="0"/>
          <w:sz w:val="20"/>
          <w:szCs w:val="20"/>
        </w:rPr>
        <w:t>請參考表二、表三及表四</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w:t>
      </w:r>
    </w:p>
    <w:p w:rsidR="001427AC" w:rsidRPr="003A6449" w:rsidRDefault="00FF4A47" w:rsidP="00002158">
      <w:pPr>
        <w:widowControl/>
        <w:snapToGrid w:val="0"/>
        <w:rPr>
          <w:rFonts w:ascii="標楷體" w:eastAsia="標楷體" w:hAnsi="標楷體" w:cs="新細明體"/>
          <w:snapToGrid w:val="0"/>
          <w:kern w:val="0"/>
          <w:sz w:val="20"/>
          <w:szCs w:val="20"/>
        </w:rPr>
      </w:pPr>
      <w:r>
        <w:rPr>
          <w:rFonts w:ascii="標楷體" w:eastAsia="標楷體" w:hAnsi="標楷體" w:cs="新細明體" w:hint="eastAsia"/>
          <w:b/>
          <w:bCs/>
          <w:snapToGrid w:val="0"/>
          <w:kern w:val="0"/>
          <w:sz w:val="20"/>
          <w:szCs w:val="20"/>
        </w:rPr>
        <w:t>表二</w:t>
      </w:r>
      <w:r w:rsidR="001427AC" w:rsidRPr="003A6449">
        <w:rPr>
          <w:rFonts w:ascii="標楷體" w:eastAsia="標楷體" w:hAnsi="標楷體" w:cs="新細明體" w:hint="eastAsia"/>
          <w:b/>
          <w:bCs/>
          <w:snapToGrid w:val="0"/>
          <w:kern w:val="0"/>
          <w:sz w:val="20"/>
          <w:szCs w:val="20"/>
        </w:rPr>
        <w:t>：</w:t>
      </w:r>
      <w:r w:rsidR="001427AC" w:rsidRPr="003A6449">
        <w:rPr>
          <w:rFonts w:ascii="標楷體" w:eastAsia="標楷體" w:hAnsi="標楷體" w:cs="新細明體"/>
          <w:b/>
          <w:bCs/>
          <w:snapToGrid w:val="0"/>
          <w:kern w:val="0"/>
          <w:sz w:val="20"/>
          <w:szCs w:val="20"/>
        </w:rPr>
        <w:t>食物代換表範例</w:t>
      </w:r>
    </w:p>
    <w:tbl>
      <w:tblPr>
        <w:tblW w:w="936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621"/>
        <w:gridCol w:w="7739"/>
      </w:tblGrid>
      <w:tr w:rsidR="001427AC" w:rsidRPr="003A6449" w:rsidTr="007A5D2B">
        <w:trPr>
          <w:tblCellSpacing w:w="15" w:type="dxa"/>
        </w:trPr>
        <w:tc>
          <w:tcPr>
            <w:tcW w:w="8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六大類食物</w:t>
            </w:r>
          </w:p>
        </w:tc>
        <w:tc>
          <w:tcPr>
            <w:tcW w:w="41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每份食物的可食量</w:t>
            </w:r>
          </w:p>
        </w:tc>
      </w:tr>
      <w:tr w:rsidR="001427AC" w:rsidRPr="003A6449" w:rsidTr="007A5D2B">
        <w:trPr>
          <w:tblCellSpacing w:w="15" w:type="dxa"/>
        </w:trPr>
        <w:tc>
          <w:tcPr>
            <w:tcW w:w="8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奶　　　類</w:t>
            </w:r>
          </w:p>
        </w:tc>
        <w:tc>
          <w:tcPr>
            <w:tcW w:w="41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脫(低)脂奶粉3平湯匙＝脫(低)脂鮮奶1小盒(240毫升)</w:t>
            </w:r>
          </w:p>
        </w:tc>
      </w:tr>
      <w:tr w:rsidR="001427AC" w:rsidRPr="003A6449" w:rsidTr="007A5D2B">
        <w:trPr>
          <w:tblCellSpacing w:w="15" w:type="dxa"/>
        </w:trPr>
        <w:tc>
          <w:tcPr>
            <w:tcW w:w="8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蛋豆魚肉類</w:t>
            </w:r>
          </w:p>
        </w:tc>
        <w:tc>
          <w:tcPr>
            <w:tcW w:w="41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一個雞蛋＝</w:t>
            </w:r>
            <w:smartTag w:uri="urn:schemas-microsoft-com:office:smarttags" w:element="chmetcnv">
              <w:smartTagPr>
                <w:attr w:name="UnitName" w:val="兩"/>
                <w:attr w:name="SourceValue" w:val="0"/>
                <w:attr w:name="HasSpace" w:val="False"/>
                <w:attr w:name="Negative" w:val="False"/>
                <w:attr w:name="NumberType" w:val="1"/>
                <w:attr w:name="TCSC" w:val="0"/>
              </w:smartTagPr>
              <w:r w:rsidRPr="003A6449">
                <w:rPr>
                  <w:rFonts w:ascii="標楷體" w:eastAsia="標楷體" w:hAnsi="標楷體" w:cs="新細明體"/>
                  <w:bCs/>
                  <w:snapToGrid w:val="0"/>
                  <w:kern w:val="0"/>
                  <w:sz w:val="20"/>
                  <w:szCs w:val="20"/>
                </w:rPr>
                <w:t>１兩</w:t>
              </w:r>
            </w:smartTag>
            <w:r w:rsidRPr="003A6449">
              <w:rPr>
                <w:rFonts w:ascii="標楷體" w:eastAsia="標楷體" w:hAnsi="標楷體" w:cs="新細明體"/>
                <w:bCs/>
                <w:snapToGrid w:val="0"/>
                <w:kern w:val="0"/>
                <w:sz w:val="20"/>
                <w:szCs w:val="20"/>
              </w:rPr>
              <w:t>生肉或魚＝1/2隻棒棒腿＝１塊田字型豆腐＝</w:t>
            </w:r>
            <w:r w:rsidRPr="003A6449">
              <w:rPr>
                <w:rFonts w:ascii="標楷體" w:eastAsia="標楷體" w:hAnsi="標楷體" w:cs="新細明體"/>
                <w:bCs/>
                <w:snapToGrid w:val="0"/>
                <w:kern w:val="0"/>
                <w:sz w:val="20"/>
                <w:szCs w:val="20"/>
              </w:rPr>
              <w:br/>
              <w:t>２片五香豆干＝無糖豆漿240毫升＝1/2碗毛豆</w:t>
            </w:r>
          </w:p>
        </w:tc>
      </w:tr>
      <w:tr w:rsidR="001427AC" w:rsidRPr="003A6449" w:rsidTr="007A5D2B">
        <w:trPr>
          <w:tblCellSpacing w:w="15" w:type="dxa"/>
        </w:trPr>
        <w:tc>
          <w:tcPr>
            <w:tcW w:w="8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五穀根莖類</w:t>
            </w:r>
            <w:r w:rsidRPr="003A6449">
              <w:rPr>
                <w:rFonts w:ascii="標楷體" w:eastAsia="標楷體" w:hAnsi="標楷體" w:cs="新細明體"/>
                <w:bCs/>
                <w:snapToGrid w:val="0"/>
                <w:kern w:val="0"/>
                <w:sz w:val="20"/>
                <w:szCs w:val="20"/>
              </w:rPr>
              <w:br/>
              <w:t>（主食類）</w:t>
            </w:r>
          </w:p>
        </w:tc>
        <w:tc>
          <w:tcPr>
            <w:tcW w:w="41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1/4碗飯＝1/2碗稀飯＝1/2碗熟麵條＝１片全麥吐司</w:t>
            </w:r>
            <w:r w:rsidRPr="003A6449">
              <w:rPr>
                <w:rFonts w:ascii="標楷體" w:eastAsia="標楷體" w:hAnsi="標楷體" w:cs="新細明體"/>
                <w:snapToGrid w:val="0"/>
                <w:kern w:val="0"/>
                <w:sz w:val="20"/>
                <w:szCs w:val="20"/>
              </w:rPr>
              <w:t xml:space="preserve"> </w:t>
            </w:r>
          </w:p>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＝３片全麥餅乾＝50公克玉米粒＝32粒蓮子＝半個馬鈴薯</w:t>
            </w:r>
          </w:p>
        </w:tc>
      </w:tr>
      <w:tr w:rsidR="001427AC" w:rsidRPr="003A6449" w:rsidTr="007A5D2B">
        <w:trPr>
          <w:tblCellSpacing w:w="15" w:type="dxa"/>
        </w:trPr>
        <w:tc>
          <w:tcPr>
            <w:tcW w:w="8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蔬　菜　類</w:t>
            </w:r>
          </w:p>
        </w:tc>
        <w:tc>
          <w:tcPr>
            <w:tcW w:w="41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100公克各類可食生蔬菜</w:t>
            </w:r>
          </w:p>
        </w:tc>
      </w:tr>
      <w:tr w:rsidR="001427AC" w:rsidRPr="003A6449" w:rsidTr="007A5D2B">
        <w:trPr>
          <w:tblCellSpacing w:w="15" w:type="dxa"/>
        </w:trPr>
        <w:tc>
          <w:tcPr>
            <w:tcW w:w="8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水　果　類</w:t>
            </w:r>
          </w:p>
        </w:tc>
        <w:tc>
          <w:tcPr>
            <w:tcW w:w="41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小蘋果１個(約110公克)＝香瓜半個(約130公克)</w:t>
            </w:r>
            <w:r w:rsidRPr="003A6449">
              <w:rPr>
                <w:rFonts w:ascii="標楷體" w:eastAsia="標楷體" w:hAnsi="標楷體" w:cs="新細明體"/>
                <w:snapToGrid w:val="0"/>
                <w:kern w:val="0"/>
                <w:sz w:val="20"/>
                <w:szCs w:val="20"/>
              </w:rPr>
              <w:t xml:space="preserve"> </w:t>
            </w:r>
          </w:p>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＝芭樂半個(約140公克)＝橘子１個(約150公克)</w:t>
            </w:r>
          </w:p>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＝柳丁１個(約130公克)＝香蕉半根(約55公克)</w:t>
            </w:r>
          </w:p>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＝木瓜半個(約200公克)</w:t>
            </w:r>
          </w:p>
        </w:tc>
      </w:tr>
      <w:tr w:rsidR="001427AC" w:rsidRPr="003A6449" w:rsidTr="007A5D2B">
        <w:trPr>
          <w:tblCellSpacing w:w="15" w:type="dxa"/>
        </w:trPr>
        <w:tc>
          <w:tcPr>
            <w:tcW w:w="8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jc w:val="center"/>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油　脂　類</w:t>
            </w:r>
          </w:p>
        </w:tc>
        <w:tc>
          <w:tcPr>
            <w:tcW w:w="4150" w:type="pct"/>
            <w:tcBorders>
              <w:top w:val="outset" w:sz="6" w:space="0" w:color="auto"/>
              <w:left w:val="outset" w:sz="6" w:space="0" w:color="auto"/>
              <w:bottom w:val="outset" w:sz="6" w:space="0" w:color="auto"/>
              <w:right w:val="outset" w:sz="6" w:space="0" w:color="auto"/>
            </w:tcBorders>
            <w:shd w:val="clear" w:color="auto" w:fill="FFFFFF"/>
          </w:tcPr>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植物油１茶匙(５公克)＝瓜子50粒＝花生米10粒</w:t>
            </w:r>
            <w:r w:rsidRPr="003A6449">
              <w:rPr>
                <w:rFonts w:ascii="標楷體" w:eastAsia="標楷體" w:hAnsi="標楷體" w:cs="新細明體"/>
                <w:snapToGrid w:val="0"/>
                <w:kern w:val="0"/>
                <w:sz w:val="20"/>
                <w:szCs w:val="20"/>
              </w:rPr>
              <w:t xml:space="preserve"> </w:t>
            </w:r>
          </w:p>
          <w:p w:rsidR="001427AC" w:rsidRPr="003A6449" w:rsidRDefault="001427AC" w:rsidP="00002158">
            <w:pPr>
              <w:widowControl/>
              <w:snapToGrid w:val="0"/>
              <w:rPr>
                <w:rFonts w:ascii="標楷體" w:eastAsia="標楷體" w:hAnsi="標楷體" w:cs="新細明體"/>
                <w:snapToGrid w:val="0"/>
                <w:kern w:val="0"/>
                <w:sz w:val="20"/>
                <w:szCs w:val="20"/>
              </w:rPr>
            </w:pPr>
            <w:r w:rsidRPr="003A6449">
              <w:rPr>
                <w:rFonts w:ascii="標楷體" w:eastAsia="標楷體" w:hAnsi="標楷體" w:cs="新細明體"/>
                <w:bCs/>
                <w:snapToGrid w:val="0"/>
                <w:kern w:val="0"/>
                <w:sz w:val="20"/>
                <w:szCs w:val="20"/>
              </w:rPr>
              <w:t>＝開心果８粒</w:t>
            </w:r>
          </w:p>
        </w:tc>
      </w:tr>
    </w:tbl>
    <w:p w:rsidR="001427AC" w:rsidRPr="003A6449" w:rsidRDefault="001427AC" w:rsidP="00554293">
      <w:pPr>
        <w:adjustRightInd w:val="0"/>
        <w:snapToGrid w:val="0"/>
        <w:spacing w:beforeLines="50" w:before="163" w:line="500" w:lineRule="exact"/>
        <w:jc w:val="both"/>
        <w:rPr>
          <w:rFonts w:ascii="標楷體" w:eastAsia="標楷體" w:hAnsi="標楷體"/>
          <w:snapToGrid w:val="0"/>
          <w:kern w:val="0"/>
          <w:sz w:val="20"/>
          <w:szCs w:val="20"/>
        </w:rPr>
      </w:pPr>
    </w:p>
    <w:p w:rsidR="001427AC" w:rsidRPr="003A6449" w:rsidRDefault="00FF4A47" w:rsidP="00554293">
      <w:pPr>
        <w:adjustRightInd w:val="0"/>
        <w:snapToGrid w:val="0"/>
        <w:spacing w:beforeLines="50" w:before="163" w:line="400" w:lineRule="exact"/>
        <w:ind w:firstLineChars="200" w:firstLine="400"/>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表三</w:t>
      </w:r>
      <w:r w:rsidR="001427AC" w:rsidRPr="003A6449">
        <w:rPr>
          <w:rFonts w:ascii="標楷體" w:eastAsia="標楷體" w:hAnsi="標楷體" w:hint="eastAsia"/>
          <w:snapToGrid w:val="0"/>
          <w:kern w:val="0"/>
          <w:sz w:val="20"/>
          <w:szCs w:val="20"/>
        </w:rPr>
        <w:t>：每日不同總熱量(大卡)攝取與各類食物份量分配表</w:t>
      </w:r>
    </w:p>
    <w:p w:rsidR="001427AC" w:rsidRPr="003A6449" w:rsidRDefault="001427AC" w:rsidP="00554293">
      <w:pPr>
        <w:adjustRightInd w:val="0"/>
        <w:snapToGrid w:val="0"/>
        <w:spacing w:beforeLines="50" w:before="163" w:line="4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        (重度海貧兒儘量避免選用高鐵食物)</w:t>
      </w:r>
    </w:p>
    <w:tbl>
      <w:tblPr>
        <w:tblStyle w:val="a4"/>
        <w:tblW w:w="0" w:type="auto"/>
        <w:tblLook w:val="01E0" w:firstRow="1" w:lastRow="1" w:firstColumn="1" w:lastColumn="1" w:noHBand="0" w:noVBand="0"/>
      </w:tblPr>
      <w:tblGrid>
        <w:gridCol w:w="979"/>
        <w:gridCol w:w="980"/>
        <w:gridCol w:w="980"/>
        <w:gridCol w:w="980"/>
        <w:gridCol w:w="980"/>
        <w:gridCol w:w="980"/>
        <w:gridCol w:w="980"/>
        <w:gridCol w:w="980"/>
        <w:gridCol w:w="980"/>
      </w:tblGrid>
      <w:tr w:rsidR="001427AC" w:rsidRPr="003A6449" w:rsidTr="007A5D2B">
        <w:tc>
          <w:tcPr>
            <w:tcW w:w="979"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熱量</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1200</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1350</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1500</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1650</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1800</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1950</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2100</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2400</w:t>
            </w:r>
          </w:p>
        </w:tc>
      </w:tr>
      <w:tr w:rsidR="001427AC" w:rsidRPr="003A6449" w:rsidTr="007A5D2B">
        <w:tc>
          <w:tcPr>
            <w:tcW w:w="979"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低脂奶</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r>
      <w:tr w:rsidR="001427AC" w:rsidRPr="003A6449" w:rsidTr="007A5D2B">
        <w:tc>
          <w:tcPr>
            <w:tcW w:w="979"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蔬菜</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p>
        </w:tc>
      </w:tr>
      <w:tr w:rsidR="001427AC" w:rsidRPr="003A6449" w:rsidTr="007A5D2B">
        <w:tc>
          <w:tcPr>
            <w:tcW w:w="979"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水果</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p>
        </w:tc>
      </w:tr>
      <w:tr w:rsidR="001427AC" w:rsidRPr="003A6449" w:rsidTr="007A5D2B">
        <w:tc>
          <w:tcPr>
            <w:tcW w:w="979"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主食</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7份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8份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10份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11份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13份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14份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15份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17份</w:t>
            </w:r>
          </w:p>
        </w:tc>
      </w:tr>
      <w:tr w:rsidR="001427AC" w:rsidRPr="003A6449" w:rsidTr="007A5D2B">
        <w:tc>
          <w:tcPr>
            <w:tcW w:w="979"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肉類</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4份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4份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4份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4份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5份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5份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6份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6份</w:t>
            </w:r>
          </w:p>
        </w:tc>
      </w:tr>
      <w:tr w:rsidR="001427AC" w:rsidRPr="003A6449" w:rsidTr="007A5D2B">
        <w:tc>
          <w:tcPr>
            <w:tcW w:w="979"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油脂</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4份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5份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5份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5份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6份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6份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8份</w:t>
            </w:r>
          </w:p>
        </w:tc>
        <w:tc>
          <w:tcPr>
            <w:tcW w:w="980" w:type="dxa"/>
          </w:tcPr>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9份</w:t>
            </w:r>
          </w:p>
        </w:tc>
      </w:tr>
    </w:tbl>
    <w:p w:rsidR="001427AC" w:rsidRPr="003A6449" w:rsidRDefault="001427AC" w:rsidP="00002158">
      <w:pPr>
        <w:widowControl/>
        <w:snapToGrid w:val="0"/>
        <w:rPr>
          <w:rFonts w:ascii="標楷體" w:eastAsia="標楷體" w:hAnsi="標楷體"/>
          <w:snapToGrid w:val="0"/>
          <w:kern w:val="0"/>
          <w:sz w:val="20"/>
          <w:szCs w:val="20"/>
        </w:rPr>
      </w:pPr>
      <w:r w:rsidRPr="003A6449">
        <w:rPr>
          <w:rFonts w:ascii="標楷體" w:eastAsia="標楷體" w:hAnsi="標楷體"/>
          <w:snapToGrid w:val="0"/>
          <w:kern w:val="0"/>
          <w:sz w:val="20"/>
          <w:szCs w:val="20"/>
        </w:rPr>
        <w:t>資料來源：G:\糖尿病\財團法人糖尿病關懷基金會.htm</w:t>
      </w:r>
    </w:p>
    <w:p w:rsidR="001427AC" w:rsidRPr="003A6449" w:rsidRDefault="00FF4A47" w:rsidP="003A6449">
      <w:pPr>
        <w:widowControl/>
        <w:snapToGrid w:val="0"/>
        <w:ind w:leftChars="-50" w:left="-20" w:hangingChars="50" w:hanging="100"/>
        <w:rPr>
          <w:rFonts w:ascii="標楷體" w:eastAsia="標楷體" w:hAnsi="標楷體" w:cs="新細明體"/>
          <w:snapToGrid w:val="0"/>
          <w:kern w:val="0"/>
          <w:sz w:val="20"/>
          <w:szCs w:val="20"/>
        </w:rPr>
      </w:pPr>
      <w:r>
        <w:rPr>
          <w:rFonts w:ascii="標楷體" w:eastAsia="標楷體" w:hAnsi="標楷體" w:cs="新細明體" w:hint="eastAsia"/>
          <w:snapToGrid w:val="0"/>
          <w:kern w:val="0"/>
          <w:sz w:val="20"/>
          <w:szCs w:val="20"/>
        </w:rPr>
        <w:t>表四</w:t>
      </w:r>
      <w:r w:rsidR="001427AC" w:rsidRPr="003A6449">
        <w:rPr>
          <w:rFonts w:ascii="標楷體" w:eastAsia="標楷體" w:hAnsi="標楷體" w:cs="新細明體" w:hint="eastAsia"/>
          <w:snapToGrid w:val="0"/>
          <w:kern w:val="0"/>
          <w:sz w:val="20"/>
          <w:szCs w:val="20"/>
        </w:rPr>
        <w:t>：一位</w:t>
      </w:r>
      <w:r w:rsidR="007A5D2B" w:rsidRPr="003A6449">
        <w:rPr>
          <w:rFonts w:ascii="標楷體" w:eastAsia="標楷體" w:hAnsi="標楷體" w:cs="新細明體" w:hint="eastAsia"/>
          <w:snapToGrid w:val="0"/>
          <w:kern w:val="0"/>
          <w:sz w:val="20"/>
          <w:szCs w:val="20"/>
        </w:rPr>
        <w:t>9歲</w:t>
      </w:r>
      <w:r w:rsidR="003C1508" w:rsidRPr="003A6449">
        <w:rPr>
          <w:rFonts w:ascii="標楷體" w:eastAsia="標楷體" w:hAnsi="標楷體" w:cs="新細明體" w:hint="eastAsia"/>
          <w:snapToGrid w:val="0"/>
          <w:kern w:val="0"/>
          <w:sz w:val="20"/>
          <w:szCs w:val="20"/>
        </w:rPr>
        <w:t>重度海貧兒，合併有</w:t>
      </w:r>
      <w:r w:rsidR="001427AC" w:rsidRPr="003A6449">
        <w:rPr>
          <w:rFonts w:ascii="標楷體" w:eastAsia="標楷體" w:hAnsi="標楷體" w:cs="新細明體" w:hint="eastAsia"/>
          <w:snapToGrid w:val="0"/>
          <w:kern w:val="0"/>
          <w:sz w:val="20"/>
          <w:szCs w:val="20"/>
        </w:rPr>
        <w:t xml:space="preserve">糖尿病，每天熱量約需1800 </w:t>
      </w:r>
      <w:r w:rsidR="003C1508" w:rsidRPr="003A6449">
        <w:rPr>
          <w:rFonts w:ascii="標楷體" w:eastAsia="標楷體" w:hAnsi="標楷體" w:cs="新細明體" w:hint="eastAsia"/>
          <w:snapToGrid w:val="0"/>
          <w:kern w:val="0"/>
          <w:sz w:val="20"/>
          <w:szCs w:val="20"/>
        </w:rPr>
        <w:t>卡</w:t>
      </w:r>
      <w:r w:rsidR="001427AC" w:rsidRPr="003A6449">
        <w:rPr>
          <w:rFonts w:ascii="標楷體" w:eastAsia="標楷體" w:hAnsi="標楷體" w:cs="新細明體" w:hint="eastAsia"/>
          <w:snapToGrid w:val="0"/>
          <w:kern w:val="0"/>
          <w:sz w:val="20"/>
          <w:szCs w:val="20"/>
        </w:rPr>
        <w:t>，飲食計劃舉例：</w:t>
      </w:r>
    </w:p>
    <w:tbl>
      <w:tblPr>
        <w:tblW w:w="0" w:type="auto"/>
        <w:tblCellMar>
          <w:left w:w="0" w:type="dxa"/>
          <w:right w:w="0" w:type="dxa"/>
        </w:tblCellMar>
        <w:tblLook w:val="0000" w:firstRow="0" w:lastRow="0" w:firstColumn="0" w:lastColumn="0" w:noHBand="0" w:noVBand="0"/>
      </w:tblPr>
      <w:tblGrid>
        <w:gridCol w:w="1008"/>
        <w:gridCol w:w="3093"/>
        <w:gridCol w:w="3207"/>
        <w:gridCol w:w="1214"/>
      </w:tblGrid>
      <w:tr w:rsidR="001427AC" w:rsidRPr="003A6449" w:rsidTr="007A5D2B">
        <w:trPr>
          <w:trHeight w:val="494"/>
        </w:trPr>
        <w:tc>
          <w:tcPr>
            <w:tcW w:w="1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餐別</w:t>
            </w:r>
          </w:p>
        </w:tc>
        <w:tc>
          <w:tcPr>
            <w:tcW w:w="30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ind w:firstLine="120"/>
              <w:rPr>
                <w:rFonts w:ascii="標楷體" w:eastAsia="標楷體" w:hAnsi="標楷體"/>
                <w:snapToGrid w:val="0"/>
                <w:kern w:val="0"/>
                <w:sz w:val="20"/>
                <w:szCs w:val="20"/>
              </w:rPr>
            </w:pPr>
            <w:r w:rsidRPr="003A6449">
              <w:rPr>
                <w:rFonts w:ascii="標楷體" w:eastAsia="標楷體" w:hAnsi="標楷體"/>
                <w:snapToGrid w:val="0"/>
                <w:kern w:val="0"/>
                <w:sz w:val="20"/>
                <w:szCs w:val="20"/>
              </w:rPr>
              <w:t>飲  食  型   態</w:t>
            </w:r>
          </w:p>
        </w:tc>
        <w:tc>
          <w:tcPr>
            <w:tcW w:w="32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ind w:firstLine="120"/>
              <w:rPr>
                <w:rFonts w:ascii="標楷體" w:eastAsia="標楷體" w:hAnsi="標楷體"/>
                <w:snapToGrid w:val="0"/>
                <w:kern w:val="0"/>
                <w:sz w:val="20"/>
                <w:szCs w:val="20"/>
              </w:rPr>
            </w:pPr>
            <w:r w:rsidRPr="003A6449">
              <w:rPr>
                <w:rFonts w:ascii="標楷體" w:eastAsia="標楷體" w:hAnsi="標楷體"/>
                <w:snapToGrid w:val="0"/>
                <w:kern w:val="0"/>
                <w:sz w:val="20"/>
                <w:szCs w:val="20"/>
              </w:rPr>
              <w:t>菜 單 舉 例</w:t>
            </w:r>
          </w:p>
        </w:tc>
        <w:tc>
          <w:tcPr>
            <w:tcW w:w="12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總熱量</w:t>
            </w:r>
          </w:p>
        </w:tc>
      </w:tr>
      <w:tr w:rsidR="001427AC" w:rsidRPr="003A6449" w:rsidTr="007A5D2B">
        <w:tc>
          <w:tcPr>
            <w:tcW w:w="1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早餐</w:t>
            </w:r>
          </w:p>
        </w:tc>
        <w:tc>
          <w:tcPr>
            <w:tcW w:w="30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3份主食類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 xml:space="preserve">210卡 </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2份</w:t>
            </w:r>
            <w:r w:rsidRPr="003A6449">
              <w:rPr>
                <w:rFonts w:ascii="標楷體" w:eastAsia="標楷體" w:hAnsi="標楷體" w:hint="eastAsia"/>
                <w:snapToGrid w:val="0"/>
                <w:kern w:val="0"/>
                <w:sz w:val="20"/>
                <w:szCs w:val="20"/>
              </w:rPr>
              <w:t>中脂</w:t>
            </w:r>
            <w:r w:rsidRPr="003A6449">
              <w:rPr>
                <w:rFonts w:ascii="標楷體" w:eastAsia="標楷體" w:hAnsi="標楷體"/>
                <w:snapToGrid w:val="0"/>
                <w:kern w:val="0"/>
                <w:sz w:val="20"/>
                <w:szCs w:val="20"/>
              </w:rPr>
              <w:t>肉類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1</w:t>
            </w:r>
            <w:r w:rsidRPr="003A6449">
              <w:rPr>
                <w:rFonts w:ascii="標楷體" w:eastAsia="標楷體" w:hAnsi="標楷體" w:hint="eastAsia"/>
                <w:snapToGrid w:val="0"/>
                <w:kern w:val="0"/>
                <w:sz w:val="20"/>
                <w:szCs w:val="20"/>
              </w:rPr>
              <w:t>5</w:t>
            </w:r>
            <w:r w:rsidRPr="003A6449">
              <w:rPr>
                <w:rFonts w:ascii="標楷體" w:eastAsia="標楷體" w:hAnsi="標楷體"/>
                <w:snapToGrid w:val="0"/>
                <w:kern w:val="0"/>
                <w:sz w:val="20"/>
                <w:szCs w:val="20"/>
              </w:rPr>
              <w:t>0卡</w:t>
            </w:r>
          </w:p>
        </w:tc>
        <w:tc>
          <w:tcPr>
            <w:tcW w:w="32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稀飯一碗半</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肉鬆二湯匙</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豆腐一塊</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涼拌小黃瓜</w:t>
            </w:r>
          </w:p>
        </w:tc>
        <w:tc>
          <w:tcPr>
            <w:tcW w:w="12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3</w:t>
            </w:r>
            <w:r w:rsidRPr="003A6449">
              <w:rPr>
                <w:rFonts w:ascii="標楷體" w:eastAsia="標楷體" w:hAnsi="標楷體" w:hint="eastAsia"/>
                <w:snapToGrid w:val="0"/>
                <w:kern w:val="0"/>
                <w:sz w:val="20"/>
                <w:szCs w:val="20"/>
              </w:rPr>
              <w:t>6</w:t>
            </w:r>
            <w:r w:rsidRPr="003A6449">
              <w:rPr>
                <w:rFonts w:ascii="標楷體" w:eastAsia="標楷體" w:hAnsi="標楷體"/>
                <w:snapToGrid w:val="0"/>
                <w:kern w:val="0"/>
                <w:sz w:val="20"/>
                <w:szCs w:val="20"/>
              </w:rPr>
              <w:t>0 卡</w:t>
            </w:r>
          </w:p>
        </w:tc>
      </w:tr>
      <w:tr w:rsidR="001427AC" w:rsidRPr="003A6449" w:rsidTr="007A5D2B">
        <w:tc>
          <w:tcPr>
            <w:tcW w:w="1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午餐</w:t>
            </w:r>
          </w:p>
        </w:tc>
        <w:tc>
          <w:tcPr>
            <w:tcW w:w="30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3份主食類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 xml:space="preserve">210卡 </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r w:rsidRPr="003A6449">
              <w:rPr>
                <w:rFonts w:ascii="標楷體" w:eastAsia="標楷體" w:hAnsi="標楷體" w:hint="eastAsia"/>
                <w:snapToGrid w:val="0"/>
                <w:kern w:val="0"/>
                <w:sz w:val="20"/>
                <w:szCs w:val="20"/>
              </w:rPr>
              <w:t>低脂</w:t>
            </w:r>
            <w:r w:rsidRPr="003A6449">
              <w:rPr>
                <w:rFonts w:ascii="標楷體" w:eastAsia="標楷體" w:hAnsi="標楷體"/>
                <w:snapToGrid w:val="0"/>
                <w:kern w:val="0"/>
                <w:sz w:val="20"/>
                <w:szCs w:val="20"/>
              </w:rPr>
              <w:t>肉類</w:t>
            </w:r>
            <w:r w:rsidRPr="003A6449">
              <w:rPr>
                <w:rFonts w:ascii="標楷體" w:eastAsia="標楷體" w:hAnsi="標楷體" w:hint="eastAsia"/>
                <w:snapToGrid w:val="0"/>
                <w:kern w:val="0"/>
                <w:sz w:val="20"/>
                <w:szCs w:val="20"/>
              </w:rPr>
              <w:t>≒165</w:t>
            </w:r>
            <w:r w:rsidRPr="003A6449">
              <w:rPr>
                <w:rFonts w:ascii="標楷體" w:eastAsia="標楷體" w:hAnsi="標楷體"/>
                <w:snapToGrid w:val="0"/>
                <w:kern w:val="0"/>
                <w:sz w:val="20"/>
                <w:szCs w:val="20"/>
              </w:rPr>
              <w:t>卡</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2份油脂</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90卡</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1份水果</w:t>
            </w:r>
            <w:r w:rsidRPr="003A6449">
              <w:rPr>
                <w:rFonts w:ascii="標楷體" w:eastAsia="標楷體" w:hAnsi="標楷體" w:hint="eastAsia"/>
                <w:snapToGrid w:val="0"/>
                <w:kern w:val="0"/>
                <w:sz w:val="20"/>
                <w:szCs w:val="20"/>
              </w:rPr>
              <w:t>≒6</w:t>
            </w:r>
            <w:r w:rsidRPr="003A6449">
              <w:rPr>
                <w:rFonts w:ascii="標楷體" w:eastAsia="標楷體" w:hAnsi="標楷體"/>
                <w:snapToGrid w:val="0"/>
                <w:kern w:val="0"/>
                <w:sz w:val="20"/>
                <w:szCs w:val="20"/>
              </w:rPr>
              <w:t>0卡</w:t>
            </w:r>
          </w:p>
        </w:tc>
        <w:tc>
          <w:tcPr>
            <w:tcW w:w="32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白飯一碗(七分滿) </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滷的小雞腿一支</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炒青菜</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冬瓜清肉湯</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蓮霧兩個</w:t>
            </w:r>
          </w:p>
        </w:tc>
        <w:tc>
          <w:tcPr>
            <w:tcW w:w="12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525</w:t>
            </w:r>
            <w:r w:rsidRPr="003A6449">
              <w:rPr>
                <w:rFonts w:ascii="標楷體" w:eastAsia="標楷體" w:hAnsi="標楷體"/>
                <w:snapToGrid w:val="0"/>
                <w:kern w:val="0"/>
                <w:sz w:val="20"/>
                <w:szCs w:val="20"/>
              </w:rPr>
              <w:t xml:space="preserve"> 卡</w:t>
            </w:r>
          </w:p>
        </w:tc>
      </w:tr>
      <w:tr w:rsidR="001427AC" w:rsidRPr="003A6449" w:rsidTr="007A5D2B">
        <w:tc>
          <w:tcPr>
            <w:tcW w:w="1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午點</w:t>
            </w:r>
          </w:p>
        </w:tc>
        <w:tc>
          <w:tcPr>
            <w:tcW w:w="30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1份主食類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 xml:space="preserve">70卡 </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r w:rsidRPr="003A6449">
              <w:rPr>
                <w:rFonts w:ascii="標楷體" w:eastAsia="標楷體" w:hAnsi="標楷體" w:hint="eastAsia"/>
                <w:snapToGrid w:val="0"/>
                <w:kern w:val="0"/>
                <w:sz w:val="20"/>
                <w:szCs w:val="20"/>
              </w:rPr>
              <w:t>中脂</w:t>
            </w:r>
            <w:r w:rsidRPr="003A6449">
              <w:rPr>
                <w:rFonts w:ascii="標楷體" w:eastAsia="標楷體" w:hAnsi="標楷體"/>
                <w:snapToGrid w:val="0"/>
                <w:kern w:val="0"/>
                <w:sz w:val="20"/>
                <w:szCs w:val="20"/>
              </w:rPr>
              <w:t>肉類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7</w:t>
            </w:r>
            <w:r w:rsidRPr="003A6449">
              <w:rPr>
                <w:rFonts w:ascii="標楷體" w:eastAsia="標楷體" w:hAnsi="標楷體" w:hint="eastAsia"/>
                <w:snapToGrid w:val="0"/>
                <w:kern w:val="0"/>
                <w:sz w:val="20"/>
                <w:szCs w:val="20"/>
              </w:rPr>
              <w:t>5</w:t>
            </w:r>
            <w:r w:rsidRPr="003A6449">
              <w:rPr>
                <w:rFonts w:ascii="標楷體" w:eastAsia="標楷體" w:hAnsi="標楷體"/>
                <w:snapToGrid w:val="0"/>
                <w:kern w:val="0"/>
                <w:sz w:val="20"/>
                <w:szCs w:val="20"/>
              </w:rPr>
              <w:t>卡</w:t>
            </w:r>
          </w:p>
        </w:tc>
        <w:tc>
          <w:tcPr>
            <w:tcW w:w="32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吐司一片 </w:t>
            </w:r>
          </w:p>
          <w:p w:rsidR="001427AC" w:rsidRPr="003A6449" w:rsidRDefault="003C1508"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白煮蛋蛋白2</w:t>
            </w:r>
            <w:r w:rsidR="001427AC" w:rsidRPr="003A6449">
              <w:rPr>
                <w:rFonts w:ascii="標楷體" w:eastAsia="標楷體" w:hAnsi="標楷體"/>
                <w:snapToGrid w:val="0"/>
                <w:kern w:val="0"/>
                <w:sz w:val="20"/>
                <w:szCs w:val="20"/>
              </w:rPr>
              <w:t>個</w:t>
            </w:r>
            <w:r w:rsidR="001427AC" w:rsidRPr="003A6449">
              <w:rPr>
                <w:rFonts w:ascii="標楷體" w:eastAsia="標楷體" w:hAnsi="標楷體" w:hint="eastAsia"/>
                <w:snapToGrid w:val="0"/>
                <w:kern w:val="0"/>
                <w:sz w:val="20"/>
                <w:szCs w:val="20"/>
              </w:rPr>
              <w:t>(不吃蛋黃，只吃</w:t>
            </w:r>
            <w:r w:rsidR="001427AC" w:rsidRPr="003A6449">
              <w:rPr>
                <w:rFonts w:ascii="標楷體" w:eastAsia="標楷體" w:hAnsi="標楷體"/>
                <w:snapToGrid w:val="0"/>
                <w:kern w:val="0"/>
                <w:sz w:val="20"/>
                <w:szCs w:val="20"/>
              </w:rPr>
              <w:t>蛋</w:t>
            </w:r>
            <w:r w:rsidR="001427AC" w:rsidRPr="003A6449">
              <w:rPr>
                <w:rFonts w:ascii="標楷體" w:eastAsia="標楷體" w:hAnsi="標楷體" w:hint="eastAsia"/>
                <w:snapToGrid w:val="0"/>
                <w:kern w:val="0"/>
                <w:sz w:val="20"/>
                <w:szCs w:val="20"/>
              </w:rPr>
              <w:t>白)</w:t>
            </w:r>
          </w:p>
        </w:tc>
        <w:tc>
          <w:tcPr>
            <w:tcW w:w="12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14</w:t>
            </w:r>
            <w:r w:rsidRPr="003A6449">
              <w:rPr>
                <w:rFonts w:ascii="標楷體" w:eastAsia="標楷體" w:hAnsi="標楷體" w:hint="eastAsia"/>
                <w:snapToGrid w:val="0"/>
                <w:kern w:val="0"/>
                <w:sz w:val="20"/>
                <w:szCs w:val="20"/>
              </w:rPr>
              <w:t>5</w:t>
            </w:r>
            <w:r w:rsidRPr="003A6449">
              <w:rPr>
                <w:rFonts w:ascii="標楷體" w:eastAsia="標楷體" w:hAnsi="標楷體"/>
                <w:snapToGrid w:val="0"/>
                <w:kern w:val="0"/>
                <w:sz w:val="20"/>
                <w:szCs w:val="20"/>
              </w:rPr>
              <w:t xml:space="preserve"> 卡</w:t>
            </w:r>
          </w:p>
        </w:tc>
      </w:tr>
      <w:tr w:rsidR="001427AC" w:rsidRPr="003A6449" w:rsidTr="007A5D2B">
        <w:tc>
          <w:tcPr>
            <w:tcW w:w="1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晚餐</w:t>
            </w:r>
          </w:p>
        </w:tc>
        <w:tc>
          <w:tcPr>
            <w:tcW w:w="30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3份主食類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 xml:space="preserve">210卡 </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3份</w:t>
            </w:r>
            <w:r w:rsidRPr="003A6449">
              <w:rPr>
                <w:rFonts w:ascii="標楷體" w:eastAsia="標楷體" w:hAnsi="標楷體" w:hint="eastAsia"/>
                <w:snapToGrid w:val="0"/>
                <w:kern w:val="0"/>
                <w:sz w:val="20"/>
                <w:szCs w:val="20"/>
              </w:rPr>
              <w:t>中脂</w:t>
            </w:r>
            <w:r w:rsidRPr="003A6449">
              <w:rPr>
                <w:rFonts w:ascii="標楷體" w:eastAsia="標楷體" w:hAnsi="標楷體"/>
                <w:snapToGrid w:val="0"/>
                <w:kern w:val="0"/>
                <w:sz w:val="20"/>
                <w:szCs w:val="20"/>
              </w:rPr>
              <w:t>肉類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21</w:t>
            </w:r>
            <w:r w:rsidRPr="003A6449">
              <w:rPr>
                <w:rFonts w:ascii="標楷體" w:eastAsia="標楷體" w:hAnsi="標楷體" w:hint="eastAsia"/>
                <w:snapToGrid w:val="0"/>
                <w:kern w:val="0"/>
                <w:sz w:val="20"/>
                <w:szCs w:val="20"/>
              </w:rPr>
              <w:t>5</w:t>
            </w:r>
            <w:r w:rsidRPr="003A6449">
              <w:rPr>
                <w:rFonts w:ascii="標楷體" w:eastAsia="標楷體" w:hAnsi="標楷體"/>
                <w:snapToGrid w:val="0"/>
                <w:kern w:val="0"/>
                <w:sz w:val="20"/>
                <w:szCs w:val="20"/>
              </w:rPr>
              <w:t>卡</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2份油脂</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90卡</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lastRenderedPageBreak/>
              <w:t>1份水果</w:t>
            </w:r>
            <w:r w:rsidRPr="003A6449">
              <w:rPr>
                <w:rFonts w:ascii="標楷體" w:eastAsia="標楷體" w:hAnsi="標楷體" w:hint="eastAsia"/>
                <w:snapToGrid w:val="0"/>
                <w:kern w:val="0"/>
                <w:sz w:val="20"/>
                <w:szCs w:val="20"/>
              </w:rPr>
              <w:t>≒6</w:t>
            </w:r>
            <w:r w:rsidRPr="003A6449">
              <w:rPr>
                <w:rFonts w:ascii="標楷體" w:eastAsia="標楷體" w:hAnsi="標楷體"/>
                <w:snapToGrid w:val="0"/>
                <w:kern w:val="0"/>
                <w:sz w:val="20"/>
                <w:szCs w:val="20"/>
              </w:rPr>
              <w:t>0卡</w:t>
            </w:r>
          </w:p>
        </w:tc>
        <w:tc>
          <w:tcPr>
            <w:tcW w:w="32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lastRenderedPageBreak/>
              <w:t>白飯一碗(七分滿)</w:t>
            </w:r>
          </w:p>
          <w:p w:rsidR="001427AC" w:rsidRPr="003A6449" w:rsidRDefault="003C1508"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煎</w:t>
            </w:r>
            <w:r w:rsidRPr="003A6449">
              <w:rPr>
                <w:rFonts w:ascii="標楷體" w:eastAsia="標楷體" w:hAnsi="標楷體"/>
                <w:snapToGrid w:val="0"/>
                <w:kern w:val="0"/>
                <w:sz w:val="20"/>
                <w:szCs w:val="20"/>
              </w:rPr>
              <w:t>魚肉</w:t>
            </w:r>
            <w:r w:rsidRPr="003A6449">
              <w:rPr>
                <w:rFonts w:ascii="標楷體" w:eastAsia="標楷體" w:hAnsi="標楷體" w:hint="eastAsia"/>
                <w:snapToGrid w:val="0"/>
                <w:kern w:val="0"/>
                <w:sz w:val="20"/>
                <w:szCs w:val="20"/>
              </w:rPr>
              <w:t>1片約一</w:t>
            </w:r>
            <w:r w:rsidR="001427AC" w:rsidRPr="003A6449">
              <w:rPr>
                <w:rFonts w:ascii="標楷體" w:eastAsia="標楷體" w:hAnsi="標楷體"/>
                <w:snapToGrid w:val="0"/>
                <w:kern w:val="0"/>
                <w:sz w:val="20"/>
                <w:szCs w:val="20"/>
              </w:rPr>
              <w:t>兩</w:t>
            </w:r>
            <w:r w:rsidRPr="003A6449">
              <w:rPr>
                <w:rFonts w:ascii="標楷體" w:eastAsia="標楷體" w:hAnsi="標楷體" w:hint="eastAsia"/>
                <w:snapToGrid w:val="0"/>
                <w:kern w:val="0"/>
                <w:sz w:val="20"/>
                <w:szCs w:val="20"/>
              </w:rPr>
              <w:t>(≒1份)</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紅燒豆包一塊</w:t>
            </w:r>
            <w:r w:rsidR="003C1508" w:rsidRPr="003A6449">
              <w:rPr>
                <w:rFonts w:ascii="標楷體" w:eastAsia="標楷體" w:hAnsi="標楷體" w:hint="eastAsia"/>
                <w:snapToGrid w:val="0"/>
                <w:kern w:val="0"/>
                <w:sz w:val="20"/>
                <w:szCs w:val="20"/>
              </w:rPr>
              <w:t>(≒2份)</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lastRenderedPageBreak/>
              <w:t>柳丁一個</w:t>
            </w:r>
          </w:p>
        </w:tc>
        <w:tc>
          <w:tcPr>
            <w:tcW w:w="12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lastRenderedPageBreak/>
              <w:t>5</w:t>
            </w:r>
            <w:r w:rsidRPr="003A6449">
              <w:rPr>
                <w:rFonts w:ascii="標楷體" w:eastAsia="標楷體" w:hAnsi="標楷體" w:hint="eastAsia"/>
                <w:snapToGrid w:val="0"/>
                <w:kern w:val="0"/>
                <w:sz w:val="20"/>
                <w:szCs w:val="20"/>
              </w:rPr>
              <w:t>75</w:t>
            </w:r>
            <w:r w:rsidRPr="003A6449">
              <w:rPr>
                <w:rFonts w:ascii="標楷體" w:eastAsia="標楷體" w:hAnsi="標楷體"/>
                <w:snapToGrid w:val="0"/>
                <w:kern w:val="0"/>
                <w:sz w:val="20"/>
                <w:szCs w:val="20"/>
              </w:rPr>
              <w:t xml:space="preserve"> 卡</w:t>
            </w:r>
          </w:p>
        </w:tc>
      </w:tr>
      <w:tr w:rsidR="001427AC" w:rsidRPr="003A6449" w:rsidTr="007A5D2B">
        <w:tc>
          <w:tcPr>
            <w:tcW w:w="1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lastRenderedPageBreak/>
              <w:t>晚點</w:t>
            </w:r>
          </w:p>
        </w:tc>
        <w:tc>
          <w:tcPr>
            <w:tcW w:w="30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1份</w:t>
            </w:r>
            <w:r w:rsidRPr="003A6449">
              <w:rPr>
                <w:rFonts w:ascii="標楷體" w:eastAsia="標楷體" w:hAnsi="標楷體" w:hint="eastAsia"/>
                <w:snapToGrid w:val="0"/>
                <w:kern w:val="0"/>
                <w:sz w:val="20"/>
                <w:szCs w:val="20"/>
              </w:rPr>
              <w:t>低脂</w:t>
            </w:r>
            <w:r w:rsidRPr="003A6449">
              <w:rPr>
                <w:rFonts w:ascii="標楷體" w:eastAsia="標楷體" w:hAnsi="標楷體"/>
                <w:snapToGrid w:val="0"/>
                <w:kern w:val="0"/>
                <w:sz w:val="20"/>
                <w:szCs w:val="20"/>
              </w:rPr>
              <w:t>牛奶</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1</w:t>
            </w:r>
            <w:r w:rsidRPr="003A6449">
              <w:rPr>
                <w:rFonts w:ascii="標楷體" w:eastAsia="標楷體" w:hAnsi="標楷體" w:hint="eastAsia"/>
                <w:snapToGrid w:val="0"/>
                <w:kern w:val="0"/>
                <w:sz w:val="20"/>
                <w:szCs w:val="20"/>
              </w:rPr>
              <w:t>2</w:t>
            </w:r>
            <w:r w:rsidRPr="003A6449">
              <w:rPr>
                <w:rFonts w:ascii="標楷體" w:eastAsia="標楷體" w:hAnsi="標楷體"/>
                <w:snapToGrid w:val="0"/>
                <w:kern w:val="0"/>
                <w:sz w:val="20"/>
                <w:szCs w:val="20"/>
              </w:rPr>
              <w:t xml:space="preserve">0卡 </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1份主食類</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70卡</w:t>
            </w:r>
          </w:p>
        </w:tc>
        <w:tc>
          <w:tcPr>
            <w:tcW w:w="32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鮮奶一盒</w:t>
            </w:r>
            <w:r w:rsidRPr="003A6449">
              <w:rPr>
                <w:rFonts w:ascii="標楷體" w:eastAsia="標楷體" w:hAnsi="標楷體" w:hint="eastAsia"/>
                <w:snapToGrid w:val="0"/>
                <w:kern w:val="0"/>
                <w:sz w:val="20"/>
                <w:szCs w:val="20"/>
              </w:rPr>
              <w:t>(</w:t>
            </w:r>
            <w:smartTag w:uri="urn:schemas-microsoft-com:office:smarttags" w:element="chmetcnv">
              <w:smartTagPr>
                <w:attr w:name="TCSC" w:val="0"/>
                <w:attr w:name="NumberType" w:val="1"/>
                <w:attr w:name="Negative" w:val="False"/>
                <w:attr w:name="HasSpace" w:val="False"/>
                <w:attr w:name="SourceValue" w:val="240"/>
                <w:attr w:name="UnitName" w:val="C"/>
              </w:smartTagPr>
              <w:r w:rsidRPr="003A6449">
                <w:rPr>
                  <w:rFonts w:ascii="標楷體" w:eastAsia="標楷體" w:hAnsi="標楷體" w:hint="eastAsia"/>
                  <w:snapToGrid w:val="0"/>
                  <w:kern w:val="0"/>
                  <w:sz w:val="20"/>
                  <w:szCs w:val="20"/>
                </w:rPr>
                <w:t>240c</w:t>
              </w:r>
            </w:smartTag>
            <w:r w:rsidRPr="003A6449">
              <w:rPr>
                <w:rFonts w:ascii="標楷體" w:eastAsia="標楷體" w:hAnsi="標楷體" w:hint="eastAsia"/>
                <w:snapToGrid w:val="0"/>
                <w:kern w:val="0"/>
                <w:sz w:val="20"/>
                <w:szCs w:val="20"/>
              </w:rPr>
              <w:t>c)</w:t>
            </w:r>
          </w:p>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snapToGrid w:val="0"/>
                <w:kern w:val="0"/>
                <w:sz w:val="20"/>
                <w:szCs w:val="20"/>
              </w:rPr>
              <w:t>蘇打餅3片</w:t>
            </w:r>
          </w:p>
        </w:tc>
        <w:tc>
          <w:tcPr>
            <w:tcW w:w="12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427AC" w:rsidRPr="003A6449" w:rsidRDefault="001427AC" w:rsidP="00002158">
            <w:pPr>
              <w:widowControl/>
              <w:snapToGrid w:val="0"/>
              <w:spacing w:line="240" w:lineRule="exact"/>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190</w:t>
            </w:r>
            <w:r w:rsidRPr="003A6449">
              <w:rPr>
                <w:rFonts w:ascii="標楷體" w:eastAsia="標楷體" w:hAnsi="標楷體"/>
                <w:snapToGrid w:val="0"/>
                <w:kern w:val="0"/>
                <w:sz w:val="20"/>
                <w:szCs w:val="20"/>
              </w:rPr>
              <w:t xml:space="preserve"> 卡</w:t>
            </w:r>
          </w:p>
        </w:tc>
      </w:tr>
    </w:tbl>
    <w:p w:rsidR="001427AC" w:rsidRPr="003A6449" w:rsidRDefault="001427AC" w:rsidP="00002158">
      <w:pPr>
        <w:snapToGrid w:val="0"/>
        <w:rPr>
          <w:rFonts w:ascii="標楷體" w:eastAsia="標楷體" w:hAnsi="標楷體"/>
          <w:snapToGrid w:val="0"/>
          <w:kern w:val="0"/>
          <w:sz w:val="20"/>
          <w:szCs w:val="20"/>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3C1508" w:rsidRPr="003A6449" w:rsidTr="003A6449">
        <w:trPr>
          <w:trHeight w:val="808"/>
          <w:jc w:val="center"/>
        </w:trPr>
        <w:tc>
          <w:tcPr>
            <w:tcW w:w="9043" w:type="dxa"/>
            <w:tcBorders>
              <w:left w:val="nil"/>
              <w:bottom w:val="nil"/>
              <w:right w:val="nil"/>
            </w:tcBorders>
            <w:vAlign w:val="center"/>
          </w:tcPr>
          <w:p w:rsidR="003C1508" w:rsidRPr="003A6449" w:rsidRDefault="003C1508" w:rsidP="00002158">
            <w:pPr>
              <w:snapToGrid w:val="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                   </w:t>
            </w:r>
            <w:r w:rsidR="00FF4A47">
              <w:rPr>
                <w:rFonts w:ascii="標楷體" w:eastAsia="標楷體" w:hAnsi="標楷體" w:hint="eastAsia"/>
                <w:snapToGrid w:val="0"/>
                <w:kern w:val="0"/>
                <w:sz w:val="20"/>
                <w:szCs w:val="20"/>
              </w:rPr>
              <w:t>表五</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血漿血糖建議目標區</w:t>
            </w:r>
          </w:p>
          <w:p w:rsidR="003C1508" w:rsidRPr="003A6449" w:rsidRDefault="003C1508" w:rsidP="003A6449">
            <w:pPr>
              <w:snapToGrid w:val="0"/>
              <w:ind w:firstLineChars="935" w:firstLine="187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(毫克/100毫升；mg/dl）</w:t>
            </w:r>
          </w:p>
        </w:tc>
      </w:tr>
      <w:tr w:rsidR="003C1508" w:rsidRPr="003A6449" w:rsidTr="003A6449">
        <w:trPr>
          <w:trHeight w:val="404"/>
          <w:jc w:val="center"/>
        </w:trPr>
        <w:tc>
          <w:tcPr>
            <w:tcW w:w="9043" w:type="dxa"/>
            <w:tcBorders>
              <w:top w:val="nil"/>
              <w:left w:val="nil"/>
              <w:right w:val="nil"/>
            </w:tcBorders>
            <w:vAlign w:val="center"/>
          </w:tcPr>
          <w:p w:rsidR="003C1508" w:rsidRPr="003A6449" w:rsidRDefault="003C1508" w:rsidP="00002158">
            <w:pPr>
              <w:snapToGrid w:val="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年齡層            飯前      飯</w:t>
            </w:r>
            <w:r w:rsidRPr="003A6449">
              <w:rPr>
                <w:rFonts w:ascii="標楷體" w:eastAsia="標楷體" w:hAnsi="標楷體" w:hint="eastAsia"/>
                <w:snapToGrid w:val="0"/>
                <w:kern w:val="0"/>
                <w:sz w:val="20"/>
                <w:szCs w:val="20"/>
              </w:rPr>
              <w:t xml:space="preserve">後    </w:t>
            </w:r>
            <w:r w:rsidRPr="003A6449">
              <w:rPr>
                <w:rFonts w:ascii="標楷體" w:eastAsia="標楷體" w:hAnsi="標楷體"/>
                <w:snapToGrid w:val="0"/>
                <w:kern w:val="0"/>
                <w:sz w:val="20"/>
                <w:szCs w:val="20"/>
              </w:rPr>
              <w:t>睡前/半夜       糖化血色素(A</w:t>
            </w:r>
            <w:smartTag w:uri="urn:schemas-microsoft-com:office:smarttags" w:element="chmetcnv">
              <w:smartTagPr>
                <w:attr w:name="UnitName" w:val="C"/>
                <w:attr w:name="SourceValue" w:val="1"/>
                <w:attr w:name="HasSpace" w:val="False"/>
                <w:attr w:name="Negative" w:val="False"/>
                <w:attr w:name="NumberType" w:val="1"/>
                <w:attr w:name="TCSC" w:val="0"/>
              </w:smartTagPr>
              <w:r w:rsidRPr="003A6449">
                <w:rPr>
                  <w:rFonts w:ascii="標楷體" w:eastAsia="標楷體" w:hAnsi="標楷體"/>
                  <w:snapToGrid w:val="0"/>
                  <w:kern w:val="0"/>
                  <w:sz w:val="20"/>
                  <w:szCs w:val="20"/>
                </w:rPr>
                <w:t>1C</w:t>
              </w:r>
            </w:smartTag>
            <w:r w:rsidRPr="003A6449">
              <w:rPr>
                <w:rFonts w:ascii="標楷體" w:eastAsia="標楷體" w:hAnsi="標楷體"/>
                <w:snapToGrid w:val="0"/>
                <w:kern w:val="0"/>
                <w:sz w:val="20"/>
                <w:szCs w:val="20"/>
              </w:rPr>
              <w:t>)</w:t>
            </w:r>
          </w:p>
        </w:tc>
      </w:tr>
      <w:tr w:rsidR="003C1508" w:rsidRPr="003A6449" w:rsidTr="003A6449">
        <w:trPr>
          <w:trHeight w:val="404"/>
          <w:jc w:val="center"/>
        </w:trPr>
        <w:tc>
          <w:tcPr>
            <w:tcW w:w="9043" w:type="dxa"/>
            <w:tcBorders>
              <w:left w:val="nil"/>
              <w:bottom w:val="single" w:sz="4" w:space="0" w:color="C0C0C0"/>
              <w:right w:val="nil"/>
            </w:tcBorders>
            <w:vAlign w:val="center"/>
          </w:tcPr>
          <w:p w:rsidR="003C1508" w:rsidRPr="003A6449" w:rsidRDefault="003C1508" w:rsidP="00554293">
            <w:pPr>
              <w:snapToGrid w:val="0"/>
              <w:spacing w:beforeLines="50" w:before="163"/>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幼兒及學齡前    100～180     </w:t>
            </w: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 xml:space="preserve"> 110～200         7.5～8.5%</w:t>
            </w:r>
          </w:p>
          <w:p w:rsidR="003C1508" w:rsidRPr="003A6449" w:rsidRDefault="003C1508" w:rsidP="00002158">
            <w:pPr>
              <w:snapToGrid w:val="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（&lt; 6 歲）</w:t>
            </w:r>
          </w:p>
        </w:tc>
      </w:tr>
      <w:tr w:rsidR="003C1508" w:rsidRPr="003A6449" w:rsidTr="003A6449">
        <w:trPr>
          <w:trHeight w:val="404"/>
          <w:jc w:val="center"/>
        </w:trPr>
        <w:tc>
          <w:tcPr>
            <w:tcW w:w="9043" w:type="dxa"/>
            <w:tcBorders>
              <w:top w:val="single" w:sz="4" w:space="0" w:color="C0C0C0"/>
              <w:left w:val="nil"/>
              <w:bottom w:val="nil"/>
              <w:right w:val="nil"/>
            </w:tcBorders>
            <w:vAlign w:val="center"/>
          </w:tcPr>
          <w:p w:rsidR="003C1508" w:rsidRPr="003A6449" w:rsidRDefault="003C1508" w:rsidP="00554293">
            <w:pPr>
              <w:snapToGrid w:val="0"/>
              <w:spacing w:beforeLines="50" w:before="163"/>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學齡期           90～180     </w:t>
            </w: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 xml:space="preserve">  100～180          &lt; 8.</w:t>
            </w:r>
            <w:r w:rsidRPr="003A6449">
              <w:rPr>
                <w:rFonts w:ascii="標楷體" w:eastAsia="標楷體" w:hAnsi="標楷體" w:hint="eastAsia"/>
                <w:snapToGrid w:val="0"/>
                <w:kern w:val="0"/>
                <w:sz w:val="20"/>
                <w:szCs w:val="20"/>
              </w:rPr>
              <w:t xml:space="preserve">0 </w:t>
            </w:r>
            <w:r w:rsidRPr="003A6449">
              <w:rPr>
                <w:rFonts w:ascii="標楷體" w:eastAsia="標楷體" w:hAnsi="標楷體"/>
                <w:snapToGrid w:val="0"/>
                <w:kern w:val="0"/>
                <w:sz w:val="20"/>
                <w:szCs w:val="20"/>
              </w:rPr>
              <w:t>%</w:t>
            </w:r>
          </w:p>
          <w:p w:rsidR="003C1508" w:rsidRPr="003A6449" w:rsidRDefault="003C1508" w:rsidP="00002158">
            <w:pPr>
              <w:snapToGrid w:val="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6～12歲）</w:t>
            </w:r>
          </w:p>
        </w:tc>
      </w:tr>
      <w:tr w:rsidR="003C1508" w:rsidRPr="003A6449" w:rsidTr="003A6449">
        <w:trPr>
          <w:trHeight w:val="426"/>
          <w:jc w:val="center"/>
        </w:trPr>
        <w:tc>
          <w:tcPr>
            <w:tcW w:w="9043" w:type="dxa"/>
            <w:tcBorders>
              <w:top w:val="single" w:sz="4" w:space="0" w:color="C0C0C0"/>
              <w:left w:val="nil"/>
              <w:bottom w:val="single" w:sz="4" w:space="0" w:color="C0C0C0"/>
              <w:right w:val="nil"/>
            </w:tcBorders>
            <w:vAlign w:val="center"/>
          </w:tcPr>
          <w:p w:rsidR="003C1508" w:rsidRPr="003A6449" w:rsidRDefault="003C1508" w:rsidP="00554293">
            <w:pPr>
              <w:snapToGrid w:val="0"/>
              <w:spacing w:beforeLines="50" w:before="163"/>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青少年及年輕人   90～130     </w:t>
            </w: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 xml:space="preserve">   90～150          &lt; 7.5% </w:t>
            </w:r>
          </w:p>
          <w:p w:rsidR="003C1508" w:rsidRPr="003A6449" w:rsidRDefault="003C1508" w:rsidP="00002158">
            <w:pPr>
              <w:snapToGrid w:val="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 xml:space="preserve">（ 13～19歲）                                 (或&lt; 7.0%，若沒有發生低血糖)    </w:t>
            </w:r>
          </w:p>
        </w:tc>
      </w:tr>
      <w:tr w:rsidR="003C1508" w:rsidRPr="003A6449" w:rsidTr="003A6449">
        <w:trPr>
          <w:trHeight w:val="426"/>
          <w:jc w:val="center"/>
        </w:trPr>
        <w:tc>
          <w:tcPr>
            <w:tcW w:w="9043" w:type="dxa"/>
            <w:tcBorders>
              <w:top w:val="single" w:sz="4" w:space="0" w:color="C0C0C0"/>
              <w:left w:val="nil"/>
              <w:right w:val="nil"/>
            </w:tcBorders>
            <w:vAlign w:val="center"/>
          </w:tcPr>
          <w:p w:rsidR="003C1508" w:rsidRPr="003A6449" w:rsidRDefault="003C1508" w:rsidP="00554293">
            <w:pPr>
              <w:snapToGrid w:val="0"/>
              <w:spacing w:beforeLines="50" w:before="163"/>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 xml:space="preserve">成年人           </w:t>
            </w:r>
            <w:r w:rsidRPr="003A6449">
              <w:rPr>
                <w:rFonts w:ascii="標楷體" w:eastAsia="標楷體" w:hAnsi="標楷體"/>
                <w:snapToGrid w:val="0"/>
                <w:kern w:val="0"/>
                <w:sz w:val="20"/>
                <w:szCs w:val="20"/>
              </w:rPr>
              <w:t>90～130</w:t>
            </w:r>
            <w:r w:rsidRPr="003A6449">
              <w:rPr>
                <w:rFonts w:ascii="標楷體" w:eastAsia="標楷體" w:hAnsi="標楷體" w:hint="eastAsia"/>
                <w:snapToGrid w:val="0"/>
                <w:kern w:val="0"/>
                <w:sz w:val="20"/>
                <w:szCs w:val="20"/>
              </w:rPr>
              <w:t xml:space="preserve">     </w:t>
            </w:r>
            <w:r w:rsidRPr="003A6449">
              <w:rPr>
                <w:rFonts w:ascii="標楷體" w:eastAsia="標楷體" w:hAnsi="標楷體"/>
                <w:snapToGrid w:val="0"/>
                <w:kern w:val="0"/>
                <w:sz w:val="20"/>
                <w:szCs w:val="20"/>
              </w:rPr>
              <w:t>&lt;</w:t>
            </w:r>
            <w:r w:rsidRPr="003A6449">
              <w:rPr>
                <w:rFonts w:ascii="標楷體" w:eastAsia="標楷體" w:hAnsi="標楷體" w:hint="eastAsia"/>
                <w:snapToGrid w:val="0"/>
                <w:kern w:val="0"/>
                <w:sz w:val="20"/>
                <w:szCs w:val="20"/>
              </w:rPr>
              <w:t xml:space="preserve"> 180                     </w:t>
            </w:r>
            <w:r w:rsidRPr="003A6449">
              <w:rPr>
                <w:rFonts w:ascii="標楷體" w:eastAsia="標楷體" w:hAnsi="標楷體"/>
                <w:snapToGrid w:val="0"/>
                <w:kern w:val="0"/>
                <w:sz w:val="20"/>
                <w:szCs w:val="20"/>
              </w:rPr>
              <w:t>&lt; 7.0%</w:t>
            </w:r>
          </w:p>
        </w:tc>
      </w:tr>
    </w:tbl>
    <w:p w:rsidR="003C1508" w:rsidRPr="003A6449" w:rsidRDefault="003C1508" w:rsidP="00002158">
      <w:pPr>
        <w:snapToGrid w:val="0"/>
        <w:rPr>
          <w:rFonts w:ascii="標楷體" w:eastAsia="標楷體" w:hAnsi="標楷體"/>
          <w:snapToGrid w:val="0"/>
          <w:kern w:val="0"/>
          <w:sz w:val="20"/>
          <w:szCs w:val="20"/>
        </w:rPr>
      </w:pPr>
    </w:p>
    <w:p w:rsidR="001427AC" w:rsidRPr="003A6449" w:rsidRDefault="001427AC" w:rsidP="003A6449">
      <w:pPr>
        <w:tabs>
          <w:tab w:val="left" w:pos="540"/>
        </w:tabs>
        <w:snapToGrid w:val="0"/>
        <w:spacing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五、</w:t>
      </w:r>
      <w:r w:rsidRPr="003A6449">
        <w:rPr>
          <w:rFonts w:ascii="標楷體" w:eastAsia="標楷體" w:hAnsi="標楷體"/>
          <w:b/>
          <w:snapToGrid w:val="0"/>
          <w:kern w:val="0"/>
          <w:sz w:val="20"/>
          <w:szCs w:val="20"/>
        </w:rPr>
        <w:t>善用各種標示：「營養標示」</w:t>
      </w:r>
      <w:r w:rsidRPr="003A6449">
        <w:rPr>
          <w:rFonts w:ascii="標楷體" w:eastAsia="標楷體" w:hAnsi="標楷體" w:hint="eastAsia"/>
          <w:b/>
          <w:snapToGrid w:val="0"/>
          <w:kern w:val="0"/>
          <w:sz w:val="20"/>
          <w:szCs w:val="20"/>
        </w:rPr>
        <w:t>、</w:t>
      </w:r>
      <w:r w:rsidRPr="003A6449">
        <w:rPr>
          <w:rFonts w:ascii="標楷體" w:eastAsia="標楷體" w:hAnsi="標楷體"/>
          <w:b/>
          <w:snapToGrid w:val="0"/>
          <w:kern w:val="0"/>
          <w:sz w:val="20"/>
          <w:szCs w:val="20"/>
        </w:rPr>
        <w:t>「熟食食品份量標示」</w:t>
      </w:r>
    </w:p>
    <w:p w:rsidR="001427AC" w:rsidRPr="003A6449" w:rsidRDefault="001427AC" w:rsidP="003A6449">
      <w:pPr>
        <w:snapToGrid w:val="0"/>
        <w:spacing w:line="500" w:lineRule="exact"/>
        <w:ind w:firstLineChars="200" w:firstLine="400"/>
        <w:jc w:val="both"/>
        <w:rPr>
          <w:rFonts w:ascii="標楷體" w:eastAsia="標楷體" w:hAnsi="標楷體"/>
          <w:b/>
          <w:snapToGrid w:val="0"/>
          <w:kern w:val="0"/>
          <w:sz w:val="20"/>
          <w:szCs w:val="20"/>
        </w:rPr>
      </w:pPr>
      <w:r w:rsidRPr="003A6449">
        <w:rPr>
          <w:rFonts w:ascii="標楷體" w:eastAsia="標楷體" w:hAnsi="標楷體"/>
          <w:snapToGrid w:val="0"/>
          <w:kern w:val="0"/>
          <w:sz w:val="20"/>
          <w:szCs w:val="20"/>
        </w:rPr>
        <w:t>學習在買東西、吃東西之前先閱讀「營養標示」/「熟食食品份量標示」，糖尿病病童及家長可以輕鬆方便地運用營養標示內容來做食物替換，有效控制糖份的攝取量，可以達到輕鬆控制血糖的目的！</w:t>
      </w:r>
    </w:p>
    <w:p w:rsidR="001427AC" w:rsidRPr="003A6449" w:rsidRDefault="001427AC" w:rsidP="003A6449">
      <w:pPr>
        <w:tabs>
          <w:tab w:val="left" w:pos="540"/>
        </w:tabs>
        <w:snapToGrid w:val="0"/>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（一）</w:t>
      </w:r>
      <w:r w:rsidRPr="003A6449">
        <w:rPr>
          <w:rFonts w:ascii="標楷體" w:eastAsia="標楷體" w:hAnsi="標楷體"/>
          <w:b/>
          <w:snapToGrid w:val="0"/>
          <w:kern w:val="0"/>
          <w:sz w:val="20"/>
          <w:szCs w:val="20"/>
        </w:rPr>
        <w:t>「營養標示」</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1.</w:t>
      </w:r>
      <w:r w:rsidRPr="003A6449">
        <w:rPr>
          <w:rFonts w:ascii="標楷體" w:eastAsia="標楷體" w:hAnsi="標楷體" w:cs="Times New Roman"/>
          <w:snapToGrid w:val="0"/>
          <w:sz w:val="20"/>
          <w:szCs w:val="20"/>
        </w:rPr>
        <w:t>美國</w:t>
      </w:r>
      <w:r w:rsidRPr="003A6449">
        <w:rPr>
          <w:rFonts w:ascii="標楷體" w:eastAsia="標楷體" w:hAnsi="標楷體" w:cs="Times New Roman" w:hint="eastAsia"/>
          <w:snapToGrid w:val="0"/>
          <w:sz w:val="20"/>
          <w:szCs w:val="20"/>
        </w:rPr>
        <w:t>進口食品：</w:t>
      </w:r>
      <w:r w:rsidRPr="003A6449">
        <w:rPr>
          <w:rFonts w:ascii="標楷體" w:eastAsia="標楷體" w:hAnsi="標楷體" w:cs="Times New Roman"/>
          <w:snapToGrid w:val="0"/>
          <w:sz w:val="20"/>
          <w:szCs w:val="20"/>
        </w:rPr>
        <w:t>標示『營養真相』（Nutrition Facts），會把每一份食</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品的熱量、主要的營養成分</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總碳水化合物(total carbohydrate)、纖維</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 xml:space="preserve">(fiber)、糖(sugar)、蛋白質(protein)、總脂肪(total fat)、飽和脂肪(saturated </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fat)、膽固醇(cholesterol)、鈉(sodium)之含量標示出來</w:t>
      </w:r>
      <w:r w:rsidRPr="003A6449">
        <w:rPr>
          <w:rFonts w:ascii="標楷體" w:eastAsia="標楷體" w:hAnsi="標楷體" w:cs="Times New Roman" w:hint="eastAsia"/>
          <w:snapToGrid w:val="0"/>
          <w:sz w:val="20"/>
          <w:szCs w:val="20"/>
        </w:rPr>
        <w:t>。</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2.日本進口食品：</w:t>
      </w:r>
      <w:r w:rsidRPr="003A6449">
        <w:rPr>
          <w:rFonts w:ascii="標楷體" w:eastAsia="標楷體" w:hAnsi="標楷體" w:cs="Times New Roman"/>
          <w:snapToGrid w:val="0"/>
          <w:sz w:val="20"/>
          <w:szCs w:val="20"/>
        </w:rPr>
        <w:t>日本標示『營養成分表』，會把「每一份」、「每一</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小包」或「每100公克」食品的熱量、主要的營養成分</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炭水化</w:t>
      </w:r>
      <w:r w:rsidRPr="003A6449">
        <w:rPr>
          <w:rFonts w:ascii="標楷體" w:eastAsia="標楷體" w:hAnsi="標楷體" w:cs="Times New Roman" w:hint="eastAsia"/>
          <w:snapToGrid w:val="0"/>
          <w:sz w:val="20"/>
          <w:szCs w:val="20"/>
        </w:rPr>
        <w:t>合</w:t>
      </w:r>
      <w:r w:rsidRPr="003A6449">
        <w:rPr>
          <w:rFonts w:ascii="標楷體" w:eastAsia="標楷體" w:hAnsi="標楷體" w:cs="Times New Roman"/>
          <w:snapToGrid w:val="0"/>
          <w:sz w:val="20"/>
          <w:szCs w:val="20"/>
        </w:rPr>
        <w:t>物（為日文漢字標示用字，與中文的</w:t>
      </w:r>
      <w:r w:rsidRPr="003A6449">
        <w:rPr>
          <w:rFonts w:ascii="標楷體" w:eastAsia="標楷體" w:hAnsi="標楷體" w:cs="Times New Roman"/>
          <w:b/>
          <w:snapToGrid w:val="0"/>
          <w:sz w:val="20"/>
          <w:szCs w:val="20"/>
        </w:rPr>
        <w:t>碳</w:t>
      </w:r>
      <w:r w:rsidRPr="003A6449">
        <w:rPr>
          <w:rFonts w:ascii="標楷體" w:eastAsia="標楷體" w:hAnsi="標楷體" w:cs="Times New Roman"/>
          <w:snapToGrid w:val="0"/>
          <w:sz w:val="20"/>
          <w:szCs w:val="20"/>
        </w:rPr>
        <w:t>水化合物相同）</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糖質（碳水化合</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lang w:eastAsia="ja-JP"/>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lang w:eastAsia="ja-JP"/>
        </w:rPr>
        <w:t>物）、たんぱく質（蛋白質）、脂質、ナトリウム（鈉）之含量標示</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lang w:eastAsia="ja-JP"/>
        </w:rPr>
        <w:t xml:space="preserve">  </w:t>
      </w:r>
      <w:r w:rsidRPr="003A6449">
        <w:rPr>
          <w:rFonts w:ascii="標楷體" w:eastAsia="標楷體" w:hAnsi="標楷體" w:cs="Times New Roman"/>
          <w:snapToGrid w:val="0"/>
          <w:sz w:val="20"/>
          <w:szCs w:val="20"/>
        </w:rPr>
        <w:t>出來</w:t>
      </w:r>
      <w:r w:rsidRPr="003A6449">
        <w:rPr>
          <w:rFonts w:ascii="標楷體" w:eastAsia="標楷體" w:hAnsi="標楷體" w:cs="Times New Roman" w:hint="eastAsia"/>
          <w:snapToGrid w:val="0"/>
          <w:sz w:val="20"/>
          <w:szCs w:val="20"/>
        </w:rPr>
        <w:t>。</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3.</w:t>
      </w:r>
      <w:r w:rsidRPr="003A6449">
        <w:rPr>
          <w:rFonts w:ascii="標楷體" w:eastAsia="標楷體" w:hAnsi="標楷體" w:cs="Times New Roman"/>
          <w:snapToGrid w:val="0"/>
          <w:sz w:val="20"/>
          <w:szCs w:val="20"/>
        </w:rPr>
        <w:t>台灣</w:t>
      </w:r>
      <w:r w:rsidRPr="003A6449">
        <w:rPr>
          <w:rFonts w:ascii="標楷體" w:eastAsia="標楷體" w:hAnsi="標楷體" w:cs="Times New Roman" w:hint="eastAsia"/>
          <w:snapToGrid w:val="0"/>
          <w:sz w:val="20"/>
          <w:szCs w:val="20"/>
        </w:rPr>
        <w:t>食品：</w:t>
      </w:r>
      <w:r w:rsidRPr="003A6449">
        <w:rPr>
          <w:rFonts w:ascii="標楷體" w:eastAsia="標楷體" w:hAnsi="標楷體" w:cs="Times New Roman"/>
          <w:snapToGrid w:val="0"/>
          <w:sz w:val="20"/>
          <w:szCs w:val="20"/>
        </w:rPr>
        <w:t>市售包裝食品，需於容器外表明顯處</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提供以下標示</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「營</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養標示」之標題、熱量、蛋白質、脂肪、碳水化合物（註：碳水化合</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物包括膳食纖維）、鈉之含量、及廠商自願標示之其他營養素含量。</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（1）.</w:t>
      </w:r>
      <w:r w:rsidRPr="003A6449">
        <w:rPr>
          <w:rFonts w:ascii="標楷體" w:eastAsia="標楷體" w:hAnsi="標楷體" w:cs="Times New Roman"/>
          <w:snapToGrid w:val="0"/>
          <w:sz w:val="20"/>
          <w:szCs w:val="20"/>
        </w:rPr>
        <w:t>熱量及營養素含量標示</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每一份量標示</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基準為固體（半固體）須</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以每100公克或以</w:t>
      </w:r>
      <w:r w:rsidRPr="003A6449">
        <w:rPr>
          <w:rFonts w:ascii="標楷體" w:eastAsia="標楷體" w:hAnsi="標楷體" w:cs="Times New Roman" w:hint="eastAsia"/>
          <w:snapToGrid w:val="0"/>
          <w:sz w:val="20"/>
          <w:szCs w:val="20"/>
        </w:rPr>
        <w:t>每</w:t>
      </w:r>
      <w:r w:rsidRPr="003A6449">
        <w:rPr>
          <w:rFonts w:ascii="標楷體" w:eastAsia="標楷體" w:hAnsi="標楷體" w:cs="Times New Roman"/>
          <w:snapToGrid w:val="0"/>
          <w:sz w:val="20"/>
          <w:szCs w:val="20"/>
        </w:rPr>
        <w:t>公克（g）為單位</w:t>
      </w:r>
      <w:r w:rsidRPr="003A6449">
        <w:rPr>
          <w:rFonts w:ascii="標楷體" w:eastAsia="標楷體" w:hAnsi="標楷體" w:cs="Times New Roman" w:hint="eastAsia"/>
          <w:snapToGrid w:val="0"/>
          <w:sz w:val="20"/>
          <w:szCs w:val="20"/>
        </w:rPr>
        <w:t>；</w:t>
      </w:r>
      <w:r w:rsidRPr="003A6449">
        <w:rPr>
          <w:rFonts w:ascii="標楷體" w:eastAsia="標楷體" w:hAnsi="標楷體" w:cs="Times New Roman"/>
          <w:snapToGrid w:val="0"/>
          <w:sz w:val="20"/>
          <w:szCs w:val="20"/>
        </w:rPr>
        <w:t>液體（飲料）需以每100</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毫升或以</w:t>
      </w:r>
      <w:r w:rsidRPr="003A6449">
        <w:rPr>
          <w:rFonts w:ascii="標楷體" w:eastAsia="標楷體" w:hAnsi="標楷體" w:cs="Times New Roman" w:hint="eastAsia"/>
          <w:snapToGrid w:val="0"/>
          <w:sz w:val="20"/>
          <w:szCs w:val="20"/>
        </w:rPr>
        <w:t xml:space="preserve"> 每</w:t>
      </w:r>
      <w:r w:rsidRPr="003A6449">
        <w:rPr>
          <w:rFonts w:ascii="標楷體" w:eastAsia="標楷體" w:hAnsi="標楷體" w:cs="Times New Roman"/>
          <w:snapToGrid w:val="0"/>
          <w:sz w:val="20"/>
          <w:szCs w:val="20"/>
        </w:rPr>
        <w:t>毫升（ml）為單位</w:t>
      </w:r>
      <w:r w:rsidRPr="003A6449">
        <w:rPr>
          <w:rFonts w:ascii="標楷體" w:eastAsia="標楷體" w:hAnsi="標楷體" w:cs="Times New Roman" w:hint="eastAsia"/>
          <w:snapToGrid w:val="0"/>
          <w:sz w:val="20"/>
          <w:szCs w:val="20"/>
        </w:rPr>
        <w:t>。且</w:t>
      </w:r>
      <w:r w:rsidRPr="003A6449">
        <w:rPr>
          <w:rFonts w:ascii="標楷體" w:eastAsia="標楷體" w:hAnsi="標楷體" w:cs="Times New Roman"/>
          <w:snapToGrid w:val="0"/>
          <w:sz w:val="20"/>
          <w:szCs w:val="20"/>
        </w:rPr>
        <w:t>該產品須加註所含之份數。標</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lastRenderedPageBreak/>
        <w:t xml:space="preserve">     </w:t>
      </w:r>
      <w:r w:rsidRPr="003A6449">
        <w:rPr>
          <w:rFonts w:ascii="標楷體" w:eastAsia="標楷體" w:hAnsi="標楷體" w:cs="Times New Roman"/>
          <w:snapToGrid w:val="0"/>
          <w:sz w:val="20"/>
          <w:szCs w:val="20"/>
        </w:rPr>
        <w:t>示之單位，熱量應以大卡表示，蛋白質、脂肪、碳水化合物應以公</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克表示，鈉應以毫克表示，其他營養素應以公克（g）、毫克（mg）</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或微克（</w:t>
      </w:r>
      <w:r w:rsidRPr="003A6449">
        <w:rPr>
          <w:rFonts w:ascii="標楷體" w:eastAsia="標楷體" w:hAnsi="標楷體" w:cs="Times New Roman"/>
          <w:snapToGrid w:val="0"/>
          <w:sz w:val="20"/>
          <w:szCs w:val="20"/>
        </w:rPr>
        <w:sym w:font="Symbol" w:char="F06D"/>
      </w:r>
      <w:r w:rsidRPr="003A6449">
        <w:rPr>
          <w:rFonts w:ascii="標楷體" w:eastAsia="標楷體" w:hAnsi="標楷體" w:cs="Times New Roman"/>
          <w:snapToGrid w:val="0"/>
          <w:sz w:val="20"/>
          <w:szCs w:val="20"/>
        </w:rPr>
        <w:t>g）表示。</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（2）</w:t>
      </w:r>
      <w:r w:rsidRPr="003A6449">
        <w:rPr>
          <w:rFonts w:ascii="標楷體" w:eastAsia="標楷體" w:hAnsi="標楷體" w:cs="Times New Roman"/>
          <w:snapToGrid w:val="0"/>
          <w:sz w:val="20"/>
          <w:szCs w:val="20"/>
        </w:rPr>
        <w:t>若營養素標示「無」、「不含」或「零」時，該食品每100公克之</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固體（半固體）或每100毫升之液體所含「糖」（糖係指單醣與雙</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醣之總和）應少於0.5公克；若營養素標示「低」、「少」、「薄」</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或「略含」時，該食品每100公克之固體（半固體）所含「糖」應</w:t>
      </w:r>
    </w:p>
    <w:p w:rsidR="001427AC" w:rsidRPr="003A6449" w:rsidRDefault="001427AC" w:rsidP="003A6449">
      <w:pPr>
        <w:pStyle w:val="Web"/>
        <w:snapToGrid w:val="0"/>
        <w:spacing w:before="0" w:beforeAutospacing="0" w:after="0" w:afterAutospacing="0" w:line="500" w:lineRule="exact"/>
        <w:jc w:val="both"/>
        <w:rPr>
          <w:rFonts w:ascii="標楷體" w:eastAsia="標楷體" w:hAnsi="標楷體" w:cs="Times New Roman"/>
          <w:snapToGrid w:val="0"/>
          <w:sz w:val="20"/>
          <w:szCs w:val="20"/>
        </w:rPr>
      </w:pPr>
      <w:r w:rsidRPr="003A6449">
        <w:rPr>
          <w:rFonts w:ascii="標楷體" w:eastAsia="標楷體" w:hAnsi="標楷體" w:cs="Times New Roman" w:hint="eastAsia"/>
          <w:snapToGrid w:val="0"/>
          <w:sz w:val="20"/>
          <w:szCs w:val="20"/>
        </w:rPr>
        <w:t xml:space="preserve">     </w:t>
      </w:r>
      <w:r w:rsidRPr="003A6449">
        <w:rPr>
          <w:rFonts w:ascii="標楷體" w:eastAsia="標楷體" w:hAnsi="標楷體" w:cs="Times New Roman"/>
          <w:snapToGrid w:val="0"/>
          <w:sz w:val="20"/>
          <w:szCs w:val="20"/>
        </w:rPr>
        <w:t>少於5公克或每100毫升之液體所含所含「糖」應少於2.5公克。</w:t>
      </w:r>
    </w:p>
    <w:p w:rsidR="001427AC" w:rsidRPr="003A6449" w:rsidRDefault="001427AC" w:rsidP="003A6449">
      <w:pPr>
        <w:tabs>
          <w:tab w:val="left" w:pos="540"/>
        </w:tabs>
        <w:snapToGrid w:val="0"/>
        <w:spacing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（二）</w:t>
      </w:r>
      <w:r w:rsidRPr="003A6449">
        <w:rPr>
          <w:rFonts w:ascii="標楷體" w:eastAsia="標楷體" w:hAnsi="標楷體"/>
          <w:b/>
          <w:snapToGrid w:val="0"/>
          <w:kern w:val="0"/>
          <w:sz w:val="20"/>
          <w:szCs w:val="20"/>
        </w:rPr>
        <w:t>「熟食食品份量標示」</w:t>
      </w:r>
    </w:p>
    <w:p w:rsidR="001427AC" w:rsidRPr="003A6449" w:rsidRDefault="001427AC" w:rsidP="003A6449">
      <w:pPr>
        <w:pStyle w:val="3"/>
        <w:snapToGrid w:val="0"/>
        <w:spacing w:after="0" w:line="500" w:lineRule="exact"/>
        <w:ind w:leftChars="0" w:left="0" w:firstLineChars="200" w:firstLine="400"/>
        <w:jc w:val="both"/>
        <w:rPr>
          <w:rFonts w:ascii="標楷體" w:eastAsia="標楷體" w:hAnsi="標楷體"/>
          <w:snapToGrid w:val="0"/>
          <w:kern w:val="0"/>
          <w:sz w:val="20"/>
          <w:szCs w:val="20"/>
        </w:rPr>
      </w:pPr>
      <w:r w:rsidRPr="003A6449">
        <w:rPr>
          <w:rFonts w:ascii="標楷體" w:eastAsia="標楷體" w:hAnsi="標楷體" w:hint="eastAsia"/>
          <w:snapToGrid w:val="0"/>
          <w:kern w:val="0"/>
          <w:sz w:val="20"/>
          <w:szCs w:val="20"/>
        </w:rPr>
        <w:t>便利商店低溫冷藏食品，如：</w:t>
      </w:r>
      <w:r w:rsidRPr="003A6449">
        <w:rPr>
          <w:rFonts w:ascii="標楷體" w:eastAsia="標楷體" w:hAnsi="標楷體"/>
          <w:snapToGrid w:val="0"/>
          <w:kern w:val="0"/>
          <w:sz w:val="20"/>
          <w:szCs w:val="20"/>
        </w:rPr>
        <w:t>便當、涼麵、麵食、三明治、飯糰等熟食食品，除標明產品熱量外，</w:t>
      </w:r>
      <w:r w:rsidRPr="003A6449">
        <w:rPr>
          <w:rFonts w:ascii="標楷體" w:eastAsia="標楷體" w:hAnsi="標楷體" w:hint="eastAsia"/>
          <w:snapToGrid w:val="0"/>
          <w:kern w:val="0"/>
          <w:sz w:val="20"/>
          <w:szCs w:val="20"/>
        </w:rPr>
        <w:t>還應</w:t>
      </w:r>
      <w:r w:rsidRPr="003A6449">
        <w:rPr>
          <w:rFonts w:ascii="標楷體" w:eastAsia="標楷體" w:hAnsi="標楷體"/>
          <w:snapToGrid w:val="0"/>
          <w:kern w:val="0"/>
          <w:sz w:val="20"/>
          <w:szCs w:val="20"/>
        </w:rPr>
        <w:t>標示「份量」</w:t>
      </w:r>
      <w:r w:rsidRPr="003A6449">
        <w:rPr>
          <w:rFonts w:ascii="標楷體" w:eastAsia="標楷體" w:hAnsi="標楷體" w:hint="eastAsia"/>
          <w:snapToGrid w:val="0"/>
          <w:kern w:val="0"/>
          <w:sz w:val="20"/>
          <w:szCs w:val="20"/>
        </w:rPr>
        <w:t>，</w:t>
      </w:r>
      <w:r w:rsidRPr="003A6449">
        <w:rPr>
          <w:rFonts w:ascii="標楷體" w:eastAsia="標楷體" w:hAnsi="標楷體"/>
          <w:snapToGrid w:val="0"/>
          <w:kern w:val="0"/>
          <w:sz w:val="20"/>
          <w:szCs w:val="20"/>
        </w:rPr>
        <w:t>讓民眾了解所購買的熟食食品，吃的是否「營養」、各類食物是否「均衡」。</w:t>
      </w:r>
    </w:p>
    <w:p w:rsidR="001427AC" w:rsidRPr="003A6449" w:rsidRDefault="001427AC" w:rsidP="003A6449">
      <w:pPr>
        <w:adjustRightInd w:val="0"/>
        <w:snapToGrid w:val="0"/>
        <w:spacing w:line="500" w:lineRule="exact"/>
        <w:jc w:val="both"/>
        <w:rPr>
          <w:rFonts w:ascii="標楷體" w:eastAsia="標楷體" w:hAnsi="標楷體"/>
          <w:b/>
          <w:snapToGrid w:val="0"/>
          <w:kern w:val="0"/>
          <w:sz w:val="20"/>
          <w:szCs w:val="20"/>
        </w:rPr>
      </w:pPr>
      <w:r w:rsidRPr="003A6449">
        <w:rPr>
          <w:rFonts w:ascii="標楷體" w:eastAsia="標楷體" w:hAnsi="標楷體" w:hint="eastAsia"/>
          <w:b/>
          <w:snapToGrid w:val="0"/>
          <w:kern w:val="0"/>
          <w:sz w:val="20"/>
          <w:szCs w:val="20"/>
        </w:rPr>
        <w:t>五、</w:t>
      </w:r>
      <w:r w:rsidRPr="003A6449">
        <w:rPr>
          <w:rFonts w:ascii="標楷體" w:eastAsia="標楷體" w:hAnsi="標楷體"/>
          <w:b/>
          <w:snapToGrid w:val="0"/>
          <w:kern w:val="0"/>
          <w:sz w:val="20"/>
          <w:szCs w:val="20"/>
        </w:rPr>
        <w:t>低血糖的</w:t>
      </w:r>
      <w:r w:rsidR="003C1508" w:rsidRPr="003A6449">
        <w:rPr>
          <w:rFonts w:ascii="標楷體" w:eastAsia="標楷體" w:hAnsi="標楷體" w:hint="eastAsia"/>
          <w:b/>
          <w:snapToGrid w:val="0"/>
          <w:kern w:val="0"/>
          <w:sz w:val="20"/>
          <w:szCs w:val="20"/>
        </w:rPr>
        <w:t>處理</w:t>
      </w:r>
    </w:p>
    <w:p w:rsidR="001427AC" w:rsidRPr="003A6449" w:rsidRDefault="001427AC" w:rsidP="003A6449">
      <w:pPr>
        <w:autoSpaceDE w:val="0"/>
        <w:autoSpaceDN w:val="0"/>
        <w:adjustRightInd w:val="0"/>
        <w:snapToGrid w:val="0"/>
        <w:spacing w:line="500" w:lineRule="exact"/>
        <w:ind w:firstLineChars="200" w:firstLine="400"/>
        <w:jc w:val="both"/>
        <w:rPr>
          <w:rFonts w:ascii="標楷體" w:eastAsia="標楷體" w:hAnsi="標楷體"/>
          <w:snapToGrid w:val="0"/>
          <w:kern w:val="0"/>
          <w:sz w:val="20"/>
          <w:szCs w:val="20"/>
        </w:rPr>
      </w:pPr>
      <w:r w:rsidRPr="003A6449">
        <w:rPr>
          <w:rFonts w:ascii="標楷體" w:eastAsia="標楷體" w:hAnsi="標楷體"/>
          <w:snapToGrid w:val="0"/>
          <w:kern w:val="0"/>
          <w:sz w:val="20"/>
          <w:szCs w:val="20"/>
        </w:rPr>
        <w:t>飲食攝取的改變、運動與藥物都可能造成低血糖。避免發生嚴重的低血糖現象的技巧在於感覺到有低血糖的徵候或症狀時，若無法確定是否發生低血糖，應</w:t>
      </w:r>
      <w:r w:rsidR="003C1508" w:rsidRPr="003A6449">
        <w:rPr>
          <w:rFonts w:ascii="標楷體" w:eastAsia="標楷體" w:hAnsi="標楷體"/>
          <w:snapToGrid w:val="0"/>
          <w:kern w:val="0"/>
          <w:sz w:val="20"/>
          <w:szCs w:val="20"/>
        </w:rPr>
        <w:t>立即測血糖確認，且應隨身攜帶治療低血糖需要用葡萄糖或含糖的食物如：葡萄糖錠、利樂包果汁、糖果、糖漿條</w:t>
      </w:r>
      <w:r w:rsidR="003C1508" w:rsidRPr="003A6449">
        <w:rPr>
          <w:rFonts w:ascii="標楷體" w:eastAsia="標楷體" w:hAnsi="標楷體" w:hint="eastAsia"/>
          <w:snapToGrid w:val="0"/>
          <w:kern w:val="0"/>
          <w:sz w:val="20"/>
          <w:szCs w:val="20"/>
        </w:rPr>
        <w:t>等</w:t>
      </w:r>
      <w:r w:rsidRPr="003A6449">
        <w:rPr>
          <w:rFonts w:ascii="標楷體" w:eastAsia="標楷體" w:hAnsi="標楷體"/>
          <w:snapToGrid w:val="0"/>
          <w:kern w:val="0"/>
          <w:sz w:val="20"/>
          <w:szCs w:val="20"/>
        </w:rPr>
        <w:t>。</w:t>
      </w:r>
    </w:p>
    <w:p w:rsidR="001427AC" w:rsidRPr="003A6449" w:rsidRDefault="003C1508" w:rsidP="003A6449">
      <w:pPr>
        <w:widowControl/>
        <w:snapToGrid w:val="0"/>
        <w:spacing w:line="500" w:lineRule="exact"/>
        <w:jc w:val="both"/>
        <w:rPr>
          <w:rFonts w:ascii="標楷體" w:eastAsia="標楷體" w:hAnsi="標楷體"/>
          <w:snapToGrid w:val="0"/>
          <w:kern w:val="0"/>
          <w:sz w:val="20"/>
          <w:szCs w:val="20"/>
        </w:rPr>
      </w:pPr>
      <w:r w:rsidRPr="003A6449">
        <w:rPr>
          <w:rFonts w:ascii="標楷體" w:eastAsia="標楷體" w:hAnsi="標楷體" w:hint="eastAsia"/>
          <w:b/>
          <w:snapToGrid w:val="0"/>
          <w:kern w:val="0"/>
          <w:sz w:val="20"/>
          <w:szCs w:val="20"/>
        </w:rPr>
        <w:t xml:space="preserve">    </w:t>
      </w:r>
      <w:r w:rsidRPr="003A6449">
        <w:rPr>
          <w:rFonts w:ascii="標楷體" w:eastAsia="標楷體" w:hAnsi="標楷體" w:hint="eastAsia"/>
          <w:snapToGrid w:val="0"/>
          <w:kern w:val="0"/>
          <w:sz w:val="20"/>
          <w:szCs w:val="20"/>
        </w:rPr>
        <w:t>胰島素造成的低血糖─口服10公克的葡萄糖，經30分鐘可增加40毫克血糖/毫升血；口服20公克的葡萄糖，經45分鐘可增加約60毫克血糖/</w:t>
      </w:r>
      <w:r w:rsidR="00CA123E" w:rsidRPr="003A6449">
        <w:rPr>
          <w:rFonts w:ascii="標楷體" w:eastAsia="標楷體" w:hAnsi="標楷體" w:hint="eastAsia"/>
          <w:snapToGrid w:val="0"/>
          <w:kern w:val="0"/>
          <w:sz w:val="20"/>
          <w:szCs w:val="20"/>
        </w:rPr>
        <w:t>毫升血。食用定量的糖後，等候10~15分鐘看看症狀是否緩解才能決定是否需要再吃一次，可避免過度治療低血糖，反而導致高血糖！通常每個人在吃完葡萄糖後60分鐘，血糖就開始下降，因此病友仍應持續監測血糖，任何型態的醣類，經消化後會產生葡萄糖，都可增加血糖，但純粹的葡萄躺是最好的選擇。食用含有蛋白質的醣類來治療低血糖，並不會影響血糖的反應，也無法預防隨後發生的低血糖；但食用含有脂肪的醣類，則會延緩糖份進入血流的速度，減慢血糖上升的反應。因此，發生低血糖時，儘量不要選擇脂質的食物(如：巧克力點心條)，選擇葡萄糖錠、含糖的飲料或果汁，對於血糖提升的反應會較為快速！</w:t>
      </w:r>
    </w:p>
    <w:sectPr w:rsidR="001427AC" w:rsidRPr="003A6449" w:rsidSect="007A5D2B">
      <w:footerReference w:type="even" r:id="rId9"/>
      <w:footerReference w:type="default" r:id="rId10"/>
      <w:pgSz w:w="11906" w:h="16838" w:code="9"/>
      <w:pgMar w:top="814" w:right="1346" w:bottom="489" w:left="1797" w:header="851" w:footer="992" w:gutter="0"/>
      <w:pgNumType w:start="92"/>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B1" w:rsidRDefault="00997AB1" w:rsidP="00F65707">
      <w:r>
        <w:separator/>
      </w:r>
    </w:p>
  </w:endnote>
  <w:endnote w:type="continuationSeparator" w:id="0">
    <w:p w:rsidR="00997AB1" w:rsidRDefault="00997AB1" w:rsidP="00F6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海報體W9">
    <w:charset w:val="88"/>
    <w:family w:val="decorative"/>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華康少女文字W5">
    <w:panose1 w:val="02010609010101010101"/>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49" w:rsidRDefault="003A6449" w:rsidP="007A5D2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3A6449" w:rsidRDefault="003A64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49" w:rsidRDefault="003A6449" w:rsidP="007A5D2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54293">
      <w:rPr>
        <w:rStyle w:val="af0"/>
        <w:noProof/>
      </w:rPr>
      <w:t>98</w:t>
    </w:r>
    <w:r>
      <w:rPr>
        <w:rStyle w:val="af0"/>
      </w:rPr>
      <w:fldChar w:fldCharType="end"/>
    </w:r>
  </w:p>
  <w:p w:rsidR="003A6449" w:rsidRDefault="003A64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B1" w:rsidRDefault="00997AB1" w:rsidP="00F65707">
      <w:r>
        <w:separator/>
      </w:r>
    </w:p>
  </w:footnote>
  <w:footnote w:type="continuationSeparator" w:id="0">
    <w:p w:rsidR="00997AB1" w:rsidRDefault="00997AB1" w:rsidP="00F65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605"/>
    <w:multiLevelType w:val="hybridMultilevel"/>
    <w:tmpl w:val="58C4CB60"/>
    <w:lvl w:ilvl="0" w:tplc="D30AD5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B87C26"/>
    <w:multiLevelType w:val="hybridMultilevel"/>
    <w:tmpl w:val="153850F2"/>
    <w:lvl w:ilvl="0" w:tplc="04090001">
      <w:start w:val="1"/>
      <w:numFmt w:val="bullet"/>
      <w:lvlText w:val=""/>
      <w:lvlJc w:val="left"/>
      <w:pPr>
        <w:tabs>
          <w:tab w:val="num" w:pos="837"/>
        </w:tabs>
        <w:ind w:left="837" w:hanging="480"/>
      </w:pPr>
      <w:rPr>
        <w:rFonts w:ascii="Wingdings" w:hAnsi="Wingdings" w:hint="default"/>
      </w:rPr>
    </w:lvl>
    <w:lvl w:ilvl="1" w:tplc="04090003" w:tentative="1">
      <w:start w:val="1"/>
      <w:numFmt w:val="bullet"/>
      <w:lvlText w:val=""/>
      <w:lvlJc w:val="left"/>
      <w:pPr>
        <w:tabs>
          <w:tab w:val="num" w:pos="1317"/>
        </w:tabs>
        <w:ind w:left="1317" w:hanging="480"/>
      </w:pPr>
      <w:rPr>
        <w:rFonts w:ascii="Wingdings" w:hAnsi="Wingdings" w:hint="default"/>
      </w:rPr>
    </w:lvl>
    <w:lvl w:ilvl="2" w:tplc="04090005" w:tentative="1">
      <w:start w:val="1"/>
      <w:numFmt w:val="bullet"/>
      <w:lvlText w:val=""/>
      <w:lvlJc w:val="left"/>
      <w:pPr>
        <w:tabs>
          <w:tab w:val="num" w:pos="1797"/>
        </w:tabs>
        <w:ind w:left="1797" w:hanging="480"/>
      </w:pPr>
      <w:rPr>
        <w:rFonts w:ascii="Wingdings" w:hAnsi="Wingdings" w:hint="default"/>
      </w:rPr>
    </w:lvl>
    <w:lvl w:ilvl="3" w:tplc="04090001" w:tentative="1">
      <w:start w:val="1"/>
      <w:numFmt w:val="bullet"/>
      <w:lvlText w:val=""/>
      <w:lvlJc w:val="left"/>
      <w:pPr>
        <w:tabs>
          <w:tab w:val="num" w:pos="2277"/>
        </w:tabs>
        <w:ind w:left="2277" w:hanging="480"/>
      </w:pPr>
      <w:rPr>
        <w:rFonts w:ascii="Wingdings" w:hAnsi="Wingdings" w:hint="default"/>
      </w:rPr>
    </w:lvl>
    <w:lvl w:ilvl="4" w:tplc="04090003" w:tentative="1">
      <w:start w:val="1"/>
      <w:numFmt w:val="bullet"/>
      <w:lvlText w:val=""/>
      <w:lvlJc w:val="left"/>
      <w:pPr>
        <w:tabs>
          <w:tab w:val="num" w:pos="2757"/>
        </w:tabs>
        <w:ind w:left="2757" w:hanging="480"/>
      </w:pPr>
      <w:rPr>
        <w:rFonts w:ascii="Wingdings" w:hAnsi="Wingdings" w:hint="default"/>
      </w:rPr>
    </w:lvl>
    <w:lvl w:ilvl="5" w:tplc="04090005" w:tentative="1">
      <w:start w:val="1"/>
      <w:numFmt w:val="bullet"/>
      <w:lvlText w:val=""/>
      <w:lvlJc w:val="left"/>
      <w:pPr>
        <w:tabs>
          <w:tab w:val="num" w:pos="3237"/>
        </w:tabs>
        <w:ind w:left="3237" w:hanging="480"/>
      </w:pPr>
      <w:rPr>
        <w:rFonts w:ascii="Wingdings" w:hAnsi="Wingdings" w:hint="default"/>
      </w:rPr>
    </w:lvl>
    <w:lvl w:ilvl="6" w:tplc="04090001" w:tentative="1">
      <w:start w:val="1"/>
      <w:numFmt w:val="bullet"/>
      <w:lvlText w:val=""/>
      <w:lvlJc w:val="left"/>
      <w:pPr>
        <w:tabs>
          <w:tab w:val="num" w:pos="3717"/>
        </w:tabs>
        <w:ind w:left="3717" w:hanging="480"/>
      </w:pPr>
      <w:rPr>
        <w:rFonts w:ascii="Wingdings" w:hAnsi="Wingdings" w:hint="default"/>
      </w:rPr>
    </w:lvl>
    <w:lvl w:ilvl="7" w:tplc="04090003" w:tentative="1">
      <w:start w:val="1"/>
      <w:numFmt w:val="bullet"/>
      <w:lvlText w:val=""/>
      <w:lvlJc w:val="left"/>
      <w:pPr>
        <w:tabs>
          <w:tab w:val="num" w:pos="4197"/>
        </w:tabs>
        <w:ind w:left="4197" w:hanging="480"/>
      </w:pPr>
      <w:rPr>
        <w:rFonts w:ascii="Wingdings" w:hAnsi="Wingdings" w:hint="default"/>
      </w:rPr>
    </w:lvl>
    <w:lvl w:ilvl="8" w:tplc="04090005" w:tentative="1">
      <w:start w:val="1"/>
      <w:numFmt w:val="bullet"/>
      <w:lvlText w:val=""/>
      <w:lvlJc w:val="left"/>
      <w:pPr>
        <w:tabs>
          <w:tab w:val="num" w:pos="4677"/>
        </w:tabs>
        <w:ind w:left="4677" w:hanging="480"/>
      </w:pPr>
      <w:rPr>
        <w:rFonts w:ascii="Wingdings" w:hAnsi="Wingdings" w:hint="default"/>
      </w:rPr>
    </w:lvl>
  </w:abstractNum>
  <w:abstractNum w:abstractNumId="2">
    <w:nsid w:val="166A0CAD"/>
    <w:multiLevelType w:val="hybridMultilevel"/>
    <w:tmpl w:val="51B87A28"/>
    <w:lvl w:ilvl="0" w:tplc="DE90EABE">
      <w:start w:val="1"/>
      <w:numFmt w:val="bullet"/>
      <w:lvlText w:val="•"/>
      <w:lvlJc w:val="left"/>
      <w:pPr>
        <w:tabs>
          <w:tab w:val="num" w:pos="720"/>
        </w:tabs>
        <w:ind w:left="720" w:hanging="360"/>
      </w:pPr>
      <w:rPr>
        <w:rFonts w:ascii="華康海報體W9" w:hAnsi="華康海報體W9" w:hint="default"/>
      </w:rPr>
    </w:lvl>
    <w:lvl w:ilvl="1" w:tplc="26C832F4" w:tentative="1">
      <w:start w:val="1"/>
      <w:numFmt w:val="bullet"/>
      <w:lvlText w:val="•"/>
      <w:lvlJc w:val="left"/>
      <w:pPr>
        <w:tabs>
          <w:tab w:val="num" w:pos="1440"/>
        </w:tabs>
        <w:ind w:left="1440" w:hanging="360"/>
      </w:pPr>
      <w:rPr>
        <w:rFonts w:ascii="華康海報體W9" w:hAnsi="華康海報體W9" w:hint="default"/>
      </w:rPr>
    </w:lvl>
    <w:lvl w:ilvl="2" w:tplc="0FC68998" w:tentative="1">
      <w:start w:val="1"/>
      <w:numFmt w:val="bullet"/>
      <w:lvlText w:val="•"/>
      <w:lvlJc w:val="left"/>
      <w:pPr>
        <w:tabs>
          <w:tab w:val="num" w:pos="2160"/>
        </w:tabs>
        <w:ind w:left="2160" w:hanging="360"/>
      </w:pPr>
      <w:rPr>
        <w:rFonts w:ascii="華康海報體W9" w:hAnsi="華康海報體W9" w:hint="default"/>
      </w:rPr>
    </w:lvl>
    <w:lvl w:ilvl="3" w:tplc="2DE042C2" w:tentative="1">
      <w:start w:val="1"/>
      <w:numFmt w:val="bullet"/>
      <w:lvlText w:val="•"/>
      <w:lvlJc w:val="left"/>
      <w:pPr>
        <w:tabs>
          <w:tab w:val="num" w:pos="2880"/>
        </w:tabs>
        <w:ind w:left="2880" w:hanging="360"/>
      </w:pPr>
      <w:rPr>
        <w:rFonts w:ascii="華康海報體W9" w:hAnsi="華康海報體W9" w:hint="default"/>
      </w:rPr>
    </w:lvl>
    <w:lvl w:ilvl="4" w:tplc="6444EF8C" w:tentative="1">
      <w:start w:val="1"/>
      <w:numFmt w:val="bullet"/>
      <w:lvlText w:val="•"/>
      <w:lvlJc w:val="left"/>
      <w:pPr>
        <w:tabs>
          <w:tab w:val="num" w:pos="3600"/>
        </w:tabs>
        <w:ind w:left="3600" w:hanging="360"/>
      </w:pPr>
      <w:rPr>
        <w:rFonts w:ascii="華康海報體W9" w:hAnsi="華康海報體W9" w:hint="default"/>
      </w:rPr>
    </w:lvl>
    <w:lvl w:ilvl="5" w:tplc="553EA210" w:tentative="1">
      <w:start w:val="1"/>
      <w:numFmt w:val="bullet"/>
      <w:lvlText w:val="•"/>
      <w:lvlJc w:val="left"/>
      <w:pPr>
        <w:tabs>
          <w:tab w:val="num" w:pos="4320"/>
        </w:tabs>
        <w:ind w:left="4320" w:hanging="360"/>
      </w:pPr>
      <w:rPr>
        <w:rFonts w:ascii="華康海報體W9" w:hAnsi="華康海報體W9" w:hint="default"/>
      </w:rPr>
    </w:lvl>
    <w:lvl w:ilvl="6" w:tplc="B1FA59FE" w:tentative="1">
      <w:start w:val="1"/>
      <w:numFmt w:val="bullet"/>
      <w:lvlText w:val="•"/>
      <w:lvlJc w:val="left"/>
      <w:pPr>
        <w:tabs>
          <w:tab w:val="num" w:pos="5040"/>
        </w:tabs>
        <w:ind w:left="5040" w:hanging="360"/>
      </w:pPr>
      <w:rPr>
        <w:rFonts w:ascii="華康海報體W9" w:hAnsi="華康海報體W9" w:hint="default"/>
      </w:rPr>
    </w:lvl>
    <w:lvl w:ilvl="7" w:tplc="CB4A8FF8" w:tentative="1">
      <w:start w:val="1"/>
      <w:numFmt w:val="bullet"/>
      <w:lvlText w:val="•"/>
      <w:lvlJc w:val="left"/>
      <w:pPr>
        <w:tabs>
          <w:tab w:val="num" w:pos="5760"/>
        </w:tabs>
        <w:ind w:left="5760" w:hanging="360"/>
      </w:pPr>
      <w:rPr>
        <w:rFonts w:ascii="華康海報體W9" w:hAnsi="華康海報體W9" w:hint="default"/>
      </w:rPr>
    </w:lvl>
    <w:lvl w:ilvl="8" w:tplc="C574A244" w:tentative="1">
      <w:start w:val="1"/>
      <w:numFmt w:val="bullet"/>
      <w:lvlText w:val="•"/>
      <w:lvlJc w:val="left"/>
      <w:pPr>
        <w:tabs>
          <w:tab w:val="num" w:pos="6480"/>
        </w:tabs>
        <w:ind w:left="6480" w:hanging="360"/>
      </w:pPr>
      <w:rPr>
        <w:rFonts w:ascii="華康海報體W9" w:hAnsi="華康海報體W9" w:hint="default"/>
      </w:rPr>
    </w:lvl>
  </w:abstractNum>
  <w:abstractNum w:abstractNumId="3">
    <w:nsid w:val="30434368"/>
    <w:multiLevelType w:val="hybridMultilevel"/>
    <w:tmpl w:val="B8BA4524"/>
    <w:lvl w:ilvl="0" w:tplc="8ED28B8A">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33AD266D"/>
    <w:multiLevelType w:val="hybridMultilevel"/>
    <w:tmpl w:val="D624DB2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3C13C63"/>
    <w:multiLevelType w:val="hybridMultilevel"/>
    <w:tmpl w:val="35627110"/>
    <w:lvl w:ilvl="0" w:tplc="61B26CB8">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3E3494C"/>
    <w:multiLevelType w:val="hybridMultilevel"/>
    <w:tmpl w:val="CF024062"/>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7">
    <w:nsid w:val="3ADE1053"/>
    <w:multiLevelType w:val="multilevel"/>
    <w:tmpl w:val="FC3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6783C"/>
    <w:multiLevelType w:val="hybridMultilevel"/>
    <w:tmpl w:val="5DC266EA"/>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9">
    <w:nsid w:val="44A66425"/>
    <w:multiLevelType w:val="hybridMultilevel"/>
    <w:tmpl w:val="741A92D0"/>
    <w:lvl w:ilvl="0" w:tplc="4E72CBB8">
      <w:start w:val="6"/>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4A013E32"/>
    <w:multiLevelType w:val="hybridMultilevel"/>
    <w:tmpl w:val="E904CC6A"/>
    <w:lvl w:ilvl="0" w:tplc="D30AD5AE">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2AF2EF9"/>
    <w:multiLevelType w:val="hybridMultilevel"/>
    <w:tmpl w:val="9814BA5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4990E25"/>
    <w:multiLevelType w:val="hybridMultilevel"/>
    <w:tmpl w:val="90ACB354"/>
    <w:lvl w:ilvl="0" w:tplc="04090001">
      <w:start w:val="1"/>
      <w:numFmt w:val="bullet"/>
      <w:lvlText w:val=""/>
      <w:lvlJc w:val="left"/>
      <w:pPr>
        <w:tabs>
          <w:tab w:val="num" w:pos="1365"/>
        </w:tabs>
        <w:ind w:left="1365" w:hanging="480"/>
      </w:pPr>
      <w:rPr>
        <w:rFonts w:ascii="Wingdings" w:hAnsi="Wingdings" w:hint="default"/>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13">
    <w:nsid w:val="68B77B04"/>
    <w:multiLevelType w:val="hybridMultilevel"/>
    <w:tmpl w:val="EA962936"/>
    <w:lvl w:ilvl="0" w:tplc="71E8720A">
      <w:start w:val="1"/>
      <w:numFmt w:val="bullet"/>
      <w:lvlText w:val="•"/>
      <w:lvlJc w:val="left"/>
      <w:pPr>
        <w:tabs>
          <w:tab w:val="num" w:pos="720"/>
        </w:tabs>
        <w:ind w:left="720" w:hanging="360"/>
      </w:pPr>
      <w:rPr>
        <w:rFonts w:ascii="華康少女文字W5" w:hAnsi="華康少女文字W5" w:hint="default"/>
      </w:rPr>
    </w:lvl>
    <w:lvl w:ilvl="1" w:tplc="5D7E0A50">
      <w:start w:val="1"/>
      <w:numFmt w:val="bullet"/>
      <w:lvlText w:val="•"/>
      <w:lvlJc w:val="left"/>
      <w:pPr>
        <w:tabs>
          <w:tab w:val="num" w:pos="1440"/>
        </w:tabs>
        <w:ind w:left="1440" w:hanging="360"/>
      </w:pPr>
      <w:rPr>
        <w:rFonts w:ascii="華康少女文字W5" w:hAnsi="華康少女文字W5" w:hint="default"/>
      </w:rPr>
    </w:lvl>
    <w:lvl w:ilvl="2" w:tplc="E43C5822" w:tentative="1">
      <w:start w:val="1"/>
      <w:numFmt w:val="bullet"/>
      <w:lvlText w:val="•"/>
      <w:lvlJc w:val="left"/>
      <w:pPr>
        <w:tabs>
          <w:tab w:val="num" w:pos="2160"/>
        </w:tabs>
        <w:ind w:left="2160" w:hanging="360"/>
      </w:pPr>
      <w:rPr>
        <w:rFonts w:ascii="華康少女文字W5" w:hAnsi="華康少女文字W5" w:hint="default"/>
      </w:rPr>
    </w:lvl>
    <w:lvl w:ilvl="3" w:tplc="82349E7E" w:tentative="1">
      <w:start w:val="1"/>
      <w:numFmt w:val="bullet"/>
      <w:lvlText w:val="•"/>
      <w:lvlJc w:val="left"/>
      <w:pPr>
        <w:tabs>
          <w:tab w:val="num" w:pos="2880"/>
        </w:tabs>
        <w:ind w:left="2880" w:hanging="360"/>
      </w:pPr>
      <w:rPr>
        <w:rFonts w:ascii="華康少女文字W5" w:hAnsi="華康少女文字W5" w:hint="default"/>
      </w:rPr>
    </w:lvl>
    <w:lvl w:ilvl="4" w:tplc="EE0E0D24" w:tentative="1">
      <w:start w:val="1"/>
      <w:numFmt w:val="bullet"/>
      <w:lvlText w:val="•"/>
      <w:lvlJc w:val="left"/>
      <w:pPr>
        <w:tabs>
          <w:tab w:val="num" w:pos="3600"/>
        </w:tabs>
        <w:ind w:left="3600" w:hanging="360"/>
      </w:pPr>
      <w:rPr>
        <w:rFonts w:ascii="華康少女文字W5" w:hAnsi="華康少女文字W5" w:hint="default"/>
      </w:rPr>
    </w:lvl>
    <w:lvl w:ilvl="5" w:tplc="88269518" w:tentative="1">
      <w:start w:val="1"/>
      <w:numFmt w:val="bullet"/>
      <w:lvlText w:val="•"/>
      <w:lvlJc w:val="left"/>
      <w:pPr>
        <w:tabs>
          <w:tab w:val="num" w:pos="4320"/>
        </w:tabs>
        <w:ind w:left="4320" w:hanging="360"/>
      </w:pPr>
      <w:rPr>
        <w:rFonts w:ascii="華康少女文字W5" w:hAnsi="華康少女文字W5" w:hint="default"/>
      </w:rPr>
    </w:lvl>
    <w:lvl w:ilvl="6" w:tplc="28407FD8" w:tentative="1">
      <w:start w:val="1"/>
      <w:numFmt w:val="bullet"/>
      <w:lvlText w:val="•"/>
      <w:lvlJc w:val="left"/>
      <w:pPr>
        <w:tabs>
          <w:tab w:val="num" w:pos="5040"/>
        </w:tabs>
        <w:ind w:left="5040" w:hanging="360"/>
      </w:pPr>
      <w:rPr>
        <w:rFonts w:ascii="華康少女文字W5" w:hAnsi="華康少女文字W5" w:hint="default"/>
      </w:rPr>
    </w:lvl>
    <w:lvl w:ilvl="7" w:tplc="E1342688" w:tentative="1">
      <w:start w:val="1"/>
      <w:numFmt w:val="bullet"/>
      <w:lvlText w:val="•"/>
      <w:lvlJc w:val="left"/>
      <w:pPr>
        <w:tabs>
          <w:tab w:val="num" w:pos="5760"/>
        </w:tabs>
        <w:ind w:left="5760" w:hanging="360"/>
      </w:pPr>
      <w:rPr>
        <w:rFonts w:ascii="華康少女文字W5" w:hAnsi="華康少女文字W5" w:hint="default"/>
      </w:rPr>
    </w:lvl>
    <w:lvl w:ilvl="8" w:tplc="AD02D58A" w:tentative="1">
      <w:start w:val="1"/>
      <w:numFmt w:val="bullet"/>
      <w:lvlText w:val="•"/>
      <w:lvlJc w:val="left"/>
      <w:pPr>
        <w:tabs>
          <w:tab w:val="num" w:pos="6480"/>
        </w:tabs>
        <w:ind w:left="6480" w:hanging="360"/>
      </w:pPr>
      <w:rPr>
        <w:rFonts w:ascii="華康少女文字W5" w:hAnsi="華康少女文字W5" w:hint="default"/>
      </w:rPr>
    </w:lvl>
  </w:abstractNum>
  <w:abstractNum w:abstractNumId="14">
    <w:nsid w:val="77042F66"/>
    <w:multiLevelType w:val="hybridMultilevel"/>
    <w:tmpl w:val="7E60CE92"/>
    <w:lvl w:ilvl="0" w:tplc="69C4001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BC74CD8"/>
    <w:multiLevelType w:val="hybridMultilevel"/>
    <w:tmpl w:val="15F6F0B8"/>
    <w:lvl w:ilvl="0" w:tplc="01CEAB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9"/>
  </w:num>
  <w:num w:numId="3">
    <w:abstractNumId w:val="12"/>
  </w:num>
  <w:num w:numId="4">
    <w:abstractNumId w:val="7"/>
  </w:num>
  <w:num w:numId="5">
    <w:abstractNumId w:val="13"/>
  </w:num>
  <w:num w:numId="6">
    <w:abstractNumId w:val="8"/>
  </w:num>
  <w:num w:numId="7">
    <w:abstractNumId w:val="4"/>
  </w:num>
  <w:num w:numId="8">
    <w:abstractNumId w:val="3"/>
  </w:num>
  <w:num w:numId="9">
    <w:abstractNumId w:val="11"/>
  </w:num>
  <w:num w:numId="10">
    <w:abstractNumId w:val="2"/>
  </w:num>
  <w:num w:numId="11">
    <w:abstractNumId w:val="1"/>
  </w:num>
  <w:num w:numId="12">
    <w:abstractNumId w:val="6"/>
  </w:num>
  <w:num w:numId="13">
    <w:abstractNumId w:val="15"/>
  </w:num>
  <w:num w:numId="14">
    <w:abstractNumId w:val="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AC"/>
    <w:rsid w:val="00002158"/>
    <w:rsid w:val="001427AC"/>
    <w:rsid w:val="003A6449"/>
    <w:rsid w:val="003C1508"/>
    <w:rsid w:val="004715F4"/>
    <w:rsid w:val="00554293"/>
    <w:rsid w:val="005B3874"/>
    <w:rsid w:val="007A5D2B"/>
    <w:rsid w:val="00997AB1"/>
    <w:rsid w:val="00B1394C"/>
    <w:rsid w:val="00CA123E"/>
    <w:rsid w:val="00F65707"/>
    <w:rsid w:val="00FF4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21">
    <w:name w:val="head21"/>
    <w:basedOn w:val="a0"/>
    <w:rsid w:val="001427AC"/>
  </w:style>
  <w:style w:type="paragraph" w:customStyle="1" w:styleId="bodytext">
    <w:name w:val="bodytext"/>
    <w:basedOn w:val="a"/>
    <w:rsid w:val="001427AC"/>
    <w:pPr>
      <w:widowControl/>
      <w:spacing w:before="100" w:beforeAutospacing="1" w:after="100" w:afterAutospacing="1"/>
    </w:pPr>
    <w:rPr>
      <w:rFonts w:ascii="新細明體" w:hAnsi="新細明體" w:cs="新細明體"/>
      <w:kern w:val="0"/>
    </w:rPr>
  </w:style>
  <w:style w:type="character" w:styleId="a3">
    <w:name w:val="Hyperlink"/>
    <w:basedOn w:val="a0"/>
    <w:rsid w:val="001427AC"/>
    <w:rPr>
      <w:color w:val="0000FF"/>
      <w:u w:val="single"/>
    </w:rPr>
  </w:style>
  <w:style w:type="paragraph" w:styleId="3">
    <w:name w:val="Body Text Indent 3"/>
    <w:basedOn w:val="a"/>
    <w:link w:val="30"/>
    <w:rsid w:val="001427AC"/>
    <w:pPr>
      <w:spacing w:after="120"/>
      <w:ind w:leftChars="200" w:left="480"/>
    </w:pPr>
    <w:rPr>
      <w:sz w:val="16"/>
      <w:szCs w:val="16"/>
    </w:rPr>
  </w:style>
  <w:style w:type="character" w:customStyle="1" w:styleId="30">
    <w:name w:val="本文縮排 3 字元"/>
    <w:basedOn w:val="a0"/>
    <w:link w:val="3"/>
    <w:rsid w:val="001427AC"/>
    <w:rPr>
      <w:kern w:val="2"/>
      <w:sz w:val="16"/>
      <w:szCs w:val="16"/>
    </w:rPr>
  </w:style>
  <w:style w:type="paragraph" w:styleId="Web">
    <w:name w:val="Normal (Web)"/>
    <w:basedOn w:val="a"/>
    <w:rsid w:val="001427AC"/>
    <w:pPr>
      <w:widowControl/>
      <w:spacing w:before="100" w:beforeAutospacing="1" w:after="100" w:afterAutospacing="1"/>
    </w:pPr>
    <w:rPr>
      <w:rFonts w:ascii="新細明體" w:hAnsi="新細明體" w:cs="新細明體"/>
      <w:kern w:val="0"/>
    </w:rPr>
  </w:style>
  <w:style w:type="table" w:styleId="a4">
    <w:name w:val="Table Grid"/>
    <w:basedOn w:val="a1"/>
    <w:rsid w:val="001427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rsid w:val="001427AC"/>
    <w:pPr>
      <w:jc w:val="center"/>
    </w:pPr>
    <w:rPr>
      <w:rFonts w:ascii="Verdana" w:hAnsi="Verdana" w:cs="新細明體"/>
      <w:color w:val="000080"/>
      <w:kern w:val="0"/>
    </w:rPr>
  </w:style>
  <w:style w:type="character" w:customStyle="1" w:styleId="a6">
    <w:name w:val="註釋標題 字元"/>
    <w:basedOn w:val="a0"/>
    <w:link w:val="a5"/>
    <w:rsid w:val="001427AC"/>
    <w:rPr>
      <w:rFonts w:ascii="Verdana" w:hAnsi="Verdana" w:cs="新細明體"/>
      <w:color w:val="000080"/>
      <w:sz w:val="24"/>
      <w:szCs w:val="24"/>
    </w:rPr>
  </w:style>
  <w:style w:type="paragraph" w:styleId="a7">
    <w:name w:val="Closing"/>
    <w:basedOn w:val="a"/>
    <w:link w:val="a8"/>
    <w:rsid w:val="001427AC"/>
    <w:pPr>
      <w:ind w:leftChars="1800" w:left="100"/>
    </w:pPr>
    <w:rPr>
      <w:rFonts w:ascii="Verdana" w:hAnsi="Verdana" w:cs="新細明體"/>
      <w:color w:val="000080"/>
      <w:kern w:val="0"/>
    </w:rPr>
  </w:style>
  <w:style w:type="character" w:customStyle="1" w:styleId="a8">
    <w:name w:val="結語 字元"/>
    <w:basedOn w:val="a0"/>
    <w:link w:val="a7"/>
    <w:rsid w:val="001427AC"/>
    <w:rPr>
      <w:rFonts w:ascii="Verdana" w:hAnsi="Verdana" w:cs="新細明體"/>
      <w:color w:val="000080"/>
      <w:sz w:val="24"/>
      <w:szCs w:val="24"/>
    </w:rPr>
  </w:style>
  <w:style w:type="character" w:styleId="a9">
    <w:name w:val="FollowedHyperlink"/>
    <w:basedOn w:val="a0"/>
    <w:rsid w:val="001427AC"/>
    <w:rPr>
      <w:color w:val="800080"/>
      <w:u w:val="single"/>
    </w:rPr>
  </w:style>
  <w:style w:type="paragraph" w:customStyle="1" w:styleId="xl22">
    <w:name w:val="xl22"/>
    <w:basedOn w:val="a"/>
    <w:rsid w:val="001427AC"/>
    <w:pPr>
      <w:widowControl/>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pPr>
    <w:rPr>
      <w:rFonts w:ascii="新細明體" w:hAnsi="新細明體" w:cs="新細明體"/>
      <w:color w:val="000000"/>
      <w:kern w:val="0"/>
    </w:rPr>
  </w:style>
  <w:style w:type="paragraph" w:customStyle="1" w:styleId="xl23">
    <w:name w:val="xl23"/>
    <w:basedOn w:val="a"/>
    <w:rsid w:val="001427AC"/>
    <w:pPr>
      <w:widowControl/>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pPr>
    <w:rPr>
      <w:rFonts w:ascii="新細明體" w:hAnsi="新細明體" w:cs="新細明體"/>
      <w:color w:val="000000"/>
      <w:kern w:val="0"/>
    </w:rPr>
  </w:style>
  <w:style w:type="paragraph" w:customStyle="1" w:styleId="xl24">
    <w:name w:val="xl24"/>
    <w:basedOn w:val="a"/>
    <w:rsid w:val="001427AC"/>
    <w:pPr>
      <w:widowControl/>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pPr>
    <w:rPr>
      <w:rFonts w:ascii="Verdana" w:hAnsi="Verdana" w:cs="新細明體"/>
      <w:kern w:val="0"/>
    </w:rPr>
  </w:style>
  <w:style w:type="character" w:customStyle="1" w:styleId="1">
    <w:name w:val="內文1"/>
    <w:basedOn w:val="a0"/>
    <w:rsid w:val="001427AC"/>
    <w:rPr>
      <w:strike w:val="0"/>
      <w:dstrike w:val="0"/>
      <w:color w:val="666666"/>
      <w:sz w:val="24"/>
      <w:szCs w:val="24"/>
      <w:u w:val="none"/>
      <w:effect w:val="none"/>
    </w:rPr>
  </w:style>
  <w:style w:type="character" w:customStyle="1" w:styleId="google-src-text1">
    <w:name w:val="google-src-text1"/>
    <w:basedOn w:val="a0"/>
    <w:rsid w:val="001427AC"/>
    <w:rPr>
      <w:vanish/>
      <w:webHidden w:val="0"/>
      <w:specVanish w:val="0"/>
    </w:rPr>
  </w:style>
  <w:style w:type="paragraph" w:customStyle="1" w:styleId="Default">
    <w:name w:val="Default"/>
    <w:rsid w:val="001427AC"/>
    <w:pPr>
      <w:widowControl w:val="0"/>
      <w:autoSpaceDE w:val="0"/>
      <w:autoSpaceDN w:val="0"/>
      <w:adjustRightInd w:val="0"/>
    </w:pPr>
    <w:rPr>
      <w:rFonts w:ascii="Arial" w:hAnsi="Arial" w:cs="Arial"/>
      <w:color w:val="000000"/>
      <w:sz w:val="24"/>
      <w:szCs w:val="24"/>
    </w:rPr>
  </w:style>
  <w:style w:type="character" w:styleId="aa">
    <w:name w:val="Emphasis"/>
    <w:basedOn w:val="a0"/>
    <w:qFormat/>
    <w:rsid w:val="001427AC"/>
    <w:rPr>
      <w:i/>
      <w:iCs/>
    </w:rPr>
  </w:style>
  <w:style w:type="character" w:styleId="ab">
    <w:name w:val="Strong"/>
    <w:basedOn w:val="a0"/>
    <w:qFormat/>
    <w:rsid w:val="001427AC"/>
    <w:rPr>
      <w:b/>
      <w:bCs/>
    </w:rPr>
  </w:style>
  <w:style w:type="paragraph" w:styleId="ac">
    <w:name w:val="Balloon Text"/>
    <w:basedOn w:val="a"/>
    <w:link w:val="ad"/>
    <w:semiHidden/>
    <w:rsid w:val="001427AC"/>
    <w:rPr>
      <w:rFonts w:ascii="Arial" w:hAnsi="Arial"/>
      <w:sz w:val="18"/>
      <w:szCs w:val="18"/>
    </w:rPr>
  </w:style>
  <w:style w:type="character" w:customStyle="1" w:styleId="ad">
    <w:name w:val="註解方塊文字 字元"/>
    <w:basedOn w:val="a0"/>
    <w:link w:val="ac"/>
    <w:semiHidden/>
    <w:rsid w:val="001427AC"/>
    <w:rPr>
      <w:rFonts w:ascii="Arial" w:hAnsi="Arial"/>
      <w:kern w:val="2"/>
      <w:sz w:val="18"/>
      <w:szCs w:val="18"/>
    </w:rPr>
  </w:style>
  <w:style w:type="paragraph" w:styleId="ae">
    <w:name w:val="footer"/>
    <w:basedOn w:val="a"/>
    <w:link w:val="af"/>
    <w:rsid w:val="001427AC"/>
    <w:pPr>
      <w:tabs>
        <w:tab w:val="center" w:pos="4153"/>
        <w:tab w:val="right" w:pos="8306"/>
      </w:tabs>
      <w:snapToGrid w:val="0"/>
    </w:pPr>
    <w:rPr>
      <w:sz w:val="20"/>
      <w:szCs w:val="20"/>
    </w:rPr>
  </w:style>
  <w:style w:type="character" w:customStyle="1" w:styleId="af">
    <w:name w:val="頁尾 字元"/>
    <w:basedOn w:val="a0"/>
    <w:link w:val="ae"/>
    <w:rsid w:val="001427AC"/>
    <w:rPr>
      <w:kern w:val="2"/>
    </w:rPr>
  </w:style>
  <w:style w:type="character" w:styleId="af0">
    <w:name w:val="page number"/>
    <w:basedOn w:val="a0"/>
    <w:rsid w:val="001427AC"/>
  </w:style>
  <w:style w:type="character" w:customStyle="1" w:styleId="style11">
    <w:name w:val="style11"/>
    <w:basedOn w:val="a0"/>
    <w:rsid w:val="001427AC"/>
    <w:rPr>
      <w:color w:val="0033CC"/>
    </w:rPr>
  </w:style>
  <w:style w:type="character" w:customStyle="1" w:styleId="style21">
    <w:name w:val="style21"/>
    <w:basedOn w:val="a0"/>
    <w:rsid w:val="001427AC"/>
    <w:rPr>
      <w:color w:val="D16596"/>
    </w:rPr>
  </w:style>
  <w:style w:type="paragraph" w:styleId="af1">
    <w:name w:val="header"/>
    <w:basedOn w:val="a"/>
    <w:link w:val="af2"/>
    <w:rsid w:val="001427AC"/>
    <w:pPr>
      <w:tabs>
        <w:tab w:val="center" w:pos="4153"/>
        <w:tab w:val="right" w:pos="8306"/>
      </w:tabs>
      <w:snapToGrid w:val="0"/>
    </w:pPr>
    <w:rPr>
      <w:sz w:val="20"/>
      <w:szCs w:val="20"/>
    </w:rPr>
  </w:style>
  <w:style w:type="character" w:customStyle="1" w:styleId="af2">
    <w:name w:val="頁首 字元"/>
    <w:basedOn w:val="a0"/>
    <w:link w:val="af1"/>
    <w:rsid w:val="001427A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21">
    <w:name w:val="head21"/>
    <w:basedOn w:val="a0"/>
    <w:rsid w:val="001427AC"/>
  </w:style>
  <w:style w:type="paragraph" w:customStyle="1" w:styleId="bodytext">
    <w:name w:val="bodytext"/>
    <w:basedOn w:val="a"/>
    <w:rsid w:val="001427AC"/>
    <w:pPr>
      <w:widowControl/>
      <w:spacing w:before="100" w:beforeAutospacing="1" w:after="100" w:afterAutospacing="1"/>
    </w:pPr>
    <w:rPr>
      <w:rFonts w:ascii="新細明體" w:hAnsi="新細明體" w:cs="新細明體"/>
      <w:kern w:val="0"/>
    </w:rPr>
  </w:style>
  <w:style w:type="character" w:styleId="a3">
    <w:name w:val="Hyperlink"/>
    <w:basedOn w:val="a0"/>
    <w:rsid w:val="001427AC"/>
    <w:rPr>
      <w:color w:val="0000FF"/>
      <w:u w:val="single"/>
    </w:rPr>
  </w:style>
  <w:style w:type="paragraph" w:styleId="3">
    <w:name w:val="Body Text Indent 3"/>
    <w:basedOn w:val="a"/>
    <w:link w:val="30"/>
    <w:rsid w:val="001427AC"/>
    <w:pPr>
      <w:spacing w:after="120"/>
      <w:ind w:leftChars="200" w:left="480"/>
    </w:pPr>
    <w:rPr>
      <w:sz w:val="16"/>
      <w:szCs w:val="16"/>
    </w:rPr>
  </w:style>
  <w:style w:type="character" w:customStyle="1" w:styleId="30">
    <w:name w:val="本文縮排 3 字元"/>
    <w:basedOn w:val="a0"/>
    <w:link w:val="3"/>
    <w:rsid w:val="001427AC"/>
    <w:rPr>
      <w:kern w:val="2"/>
      <w:sz w:val="16"/>
      <w:szCs w:val="16"/>
    </w:rPr>
  </w:style>
  <w:style w:type="paragraph" w:styleId="Web">
    <w:name w:val="Normal (Web)"/>
    <w:basedOn w:val="a"/>
    <w:rsid w:val="001427AC"/>
    <w:pPr>
      <w:widowControl/>
      <w:spacing w:before="100" w:beforeAutospacing="1" w:after="100" w:afterAutospacing="1"/>
    </w:pPr>
    <w:rPr>
      <w:rFonts w:ascii="新細明體" w:hAnsi="新細明體" w:cs="新細明體"/>
      <w:kern w:val="0"/>
    </w:rPr>
  </w:style>
  <w:style w:type="table" w:styleId="a4">
    <w:name w:val="Table Grid"/>
    <w:basedOn w:val="a1"/>
    <w:rsid w:val="001427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rsid w:val="001427AC"/>
    <w:pPr>
      <w:jc w:val="center"/>
    </w:pPr>
    <w:rPr>
      <w:rFonts w:ascii="Verdana" w:hAnsi="Verdana" w:cs="新細明體"/>
      <w:color w:val="000080"/>
      <w:kern w:val="0"/>
    </w:rPr>
  </w:style>
  <w:style w:type="character" w:customStyle="1" w:styleId="a6">
    <w:name w:val="註釋標題 字元"/>
    <w:basedOn w:val="a0"/>
    <w:link w:val="a5"/>
    <w:rsid w:val="001427AC"/>
    <w:rPr>
      <w:rFonts w:ascii="Verdana" w:hAnsi="Verdana" w:cs="新細明體"/>
      <w:color w:val="000080"/>
      <w:sz w:val="24"/>
      <w:szCs w:val="24"/>
    </w:rPr>
  </w:style>
  <w:style w:type="paragraph" w:styleId="a7">
    <w:name w:val="Closing"/>
    <w:basedOn w:val="a"/>
    <w:link w:val="a8"/>
    <w:rsid w:val="001427AC"/>
    <w:pPr>
      <w:ind w:leftChars="1800" w:left="100"/>
    </w:pPr>
    <w:rPr>
      <w:rFonts w:ascii="Verdana" w:hAnsi="Verdana" w:cs="新細明體"/>
      <w:color w:val="000080"/>
      <w:kern w:val="0"/>
    </w:rPr>
  </w:style>
  <w:style w:type="character" w:customStyle="1" w:styleId="a8">
    <w:name w:val="結語 字元"/>
    <w:basedOn w:val="a0"/>
    <w:link w:val="a7"/>
    <w:rsid w:val="001427AC"/>
    <w:rPr>
      <w:rFonts w:ascii="Verdana" w:hAnsi="Verdana" w:cs="新細明體"/>
      <w:color w:val="000080"/>
      <w:sz w:val="24"/>
      <w:szCs w:val="24"/>
    </w:rPr>
  </w:style>
  <w:style w:type="character" w:styleId="a9">
    <w:name w:val="FollowedHyperlink"/>
    <w:basedOn w:val="a0"/>
    <w:rsid w:val="001427AC"/>
    <w:rPr>
      <w:color w:val="800080"/>
      <w:u w:val="single"/>
    </w:rPr>
  </w:style>
  <w:style w:type="paragraph" w:customStyle="1" w:styleId="xl22">
    <w:name w:val="xl22"/>
    <w:basedOn w:val="a"/>
    <w:rsid w:val="001427AC"/>
    <w:pPr>
      <w:widowControl/>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pPr>
    <w:rPr>
      <w:rFonts w:ascii="新細明體" w:hAnsi="新細明體" w:cs="新細明體"/>
      <w:color w:val="000000"/>
      <w:kern w:val="0"/>
    </w:rPr>
  </w:style>
  <w:style w:type="paragraph" w:customStyle="1" w:styleId="xl23">
    <w:name w:val="xl23"/>
    <w:basedOn w:val="a"/>
    <w:rsid w:val="001427AC"/>
    <w:pPr>
      <w:widowControl/>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pPr>
    <w:rPr>
      <w:rFonts w:ascii="新細明體" w:hAnsi="新細明體" w:cs="新細明體"/>
      <w:color w:val="000000"/>
      <w:kern w:val="0"/>
    </w:rPr>
  </w:style>
  <w:style w:type="paragraph" w:customStyle="1" w:styleId="xl24">
    <w:name w:val="xl24"/>
    <w:basedOn w:val="a"/>
    <w:rsid w:val="001427AC"/>
    <w:pPr>
      <w:widowControl/>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pPr>
    <w:rPr>
      <w:rFonts w:ascii="Verdana" w:hAnsi="Verdana" w:cs="新細明體"/>
      <w:kern w:val="0"/>
    </w:rPr>
  </w:style>
  <w:style w:type="character" w:customStyle="1" w:styleId="1">
    <w:name w:val="內文1"/>
    <w:basedOn w:val="a0"/>
    <w:rsid w:val="001427AC"/>
    <w:rPr>
      <w:strike w:val="0"/>
      <w:dstrike w:val="0"/>
      <w:color w:val="666666"/>
      <w:sz w:val="24"/>
      <w:szCs w:val="24"/>
      <w:u w:val="none"/>
      <w:effect w:val="none"/>
    </w:rPr>
  </w:style>
  <w:style w:type="character" w:customStyle="1" w:styleId="google-src-text1">
    <w:name w:val="google-src-text1"/>
    <w:basedOn w:val="a0"/>
    <w:rsid w:val="001427AC"/>
    <w:rPr>
      <w:vanish/>
      <w:webHidden w:val="0"/>
      <w:specVanish w:val="0"/>
    </w:rPr>
  </w:style>
  <w:style w:type="paragraph" w:customStyle="1" w:styleId="Default">
    <w:name w:val="Default"/>
    <w:rsid w:val="001427AC"/>
    <w:pPr>
      <w:widowControl w:val="0"/>
      <w:autoSpaceDE w:val="0"/>
      <w:autoSpaceDN w:val="0"/>
      <w:adjustRightInd w:val="0"/>
    </w:pPr>
    <w:rPr>
      <w:rFonts w:ascii="Arial" w:hAnsi="Arial" w:cs="Arial"/>
      <w:color w:val="000000"/>
      <w:sz w:val="24"/>
      <w:szCs w:val="24"/>
    </w:rPr>
  </w:style>
  <w:style w:type="character" w:styleId="aa">
    <w:name w:val="Emphasis"/>
    <w:basedOn w:val="a0"/>
    <w:qFormat/>
    <w:rsid w:val="001427AC"/>
    <w:rPr>
      <w:i/>
      <w:iCs/>
    </w:rPr>
  </w:style>
  <w:style w:type="character" w:styleId="ab">
    <w:name w:val="Strong"/>
    <w:basedOn w:val="a0"/>
    <w:qFormat/>
    <w:rsid w:val="001427AC"/>
    <w:rPr>
      <w:b/>
      <w:bCs/>
    </w:rPr>
  </w:style>
  <w:style w:type="paragraph" w:styleId="ac">
    <w:name w:val="Balloon Text"/>
    <w:basedOn w:val="a"/>
    <w:link w:val="ad"/>
    <w:semiHidden/>
    <w:rsid w:val="001427AC"/>
    <w:rPr>
      <w:rFonts w:ascii="Arial" w:hAnsi="Arial"/>
      <w:sz w:val="18"/>
      <w:szCs w:val="18"/>
    </w:rPr>
  </w:style>
  <w:style w:type="character" w:customStyle="1" w:styleId="ad">
    <w:name w:val="註解方塊文字 字元"/>
    <w:basedOn w:val="a0"/>
    <w:link w:val="ac"/>
    <w:semiHidden/>
    <w:rsid w:val="001427AC"/>
    <w:rPr>
      <w:rFonts w:ascii="Arial" w:hAnsi="Arial"/>
      <w:kern w:val="2"/>
      <w:sz w:val="18"/>
      <w:szCs w:val="18"/>
    </w:rPr>
  </w:style>
  <w:style w:type="paragraph" w:styleId="ae">
    <w:name w:val="footer"/>
    <w:basedOn w:val="a"/>
    <w:link w:val="af"/>
    <w:rsid w:val="001427AC"/>
    <w:pPr>
      <w:tabs>
        <w:tab w:val="center" w:pos="4153"/>
        <w:tab w:val="right" w:pos="8306"/>
      </w:tabs>
      <w:snapToGrid w:val="0"/>
    </w:pPr>
    <w:rPr>
      <w:sz w:val="20"/>
      <w:szCs w:val="20"/>
    </w:rPr>
  </w:style>
  <w:style w:type="character" w:customStyle="1" w:styleId="af">
    <w:name w:val="頁尾 字元"/>
    <w:basedOn w:val="a0"/>
    <w:link w:val="ae"/>
    <w:rsid w:val="001427AC"/>
    <w:rPr>
      <w:kern w:val="2"/>
    </w:rPr>
  </w:style>
  <w:style w:type="character" w:styleId="af0">
    <w:name w:val="page number"/>
    <w:basedOn w:val="a0"/>
    <w:rsid w:val="001427AC"/>
  </w:style>
  <w:style w:type="character" w:customStyle="1" w:styleId="style11">
    <w:name w:val="style11"/>
    <w:basedOn w:val="a0"/>
    <w:rsid w:val="001427AC"/>
    <w:rPr>
      <w:color w:val="0033CC"/>
    </w:rPr>
  </w:style>
  <w:style w:type="character" w:customStyle="1" w:styleId="style21">
    <w:name w:val="style21"/>
    <w:basedOn w:val="a0"/>
    <w:rsid w:val="001427AC"/>
    <w:rPr>
      <w:color w:val="D16596"/>
    </w:rPr>
  </w:style>
  <w:style w:type="paragraph" w:styleId="af1">
    <w:name w:val="header"/>
    <w:basedOn w:val="a"/>
    <w:link w:val="af2"/>
    <w:rsid w:val="001427AC"/>
    <w:pPr>
      <w:tabs>
        <w:tab w:val="center" w:pos="4153"/>
        <w:tab w:val="right" w:pos="8306"/>
      </w:tabs>
      <w:snapToGrid w:val="0"/>
    </w:pPr>
    <w:rPr>
      <w:sz w:val="20"/>
      <w:szCs w:val="20"/>
    </w:rPr>
  </w:style>
  <w:style w:type="character" w:customStyle="1" w:styleId="af2">
    <w:name w:val="頁首 字元"/>
    <w:basedOn w:val="a0"/>
    <w:link w:val="af1"/>
    <w:rsid w:val="001427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764E2-6563-4D11-8788-3139CB70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7457</Characters>
  <Application>Microsoft Office Word</Application>
  <DocSecurity>4</DocSecurity>
  <Lines>62</Lines>
  <Paragraphs>17</Paragraphs>
  <ScaleCrop>false</ScaleCrop>
  <Company>C.M.T</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cp:lastModifiedBy>
  <cp:revision>2</cp:revision>
  <dcterms:created xsi:type="dcterms:W3CDTF">2014-04-03T02:58:00Z</dcterms:created>
  <dcterms:modified xsi:type="dcterms:W3CDTF">2014-04-03T02:58:00Z</dcterms:modified>
</cp:coreProperties>
</file>